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B" w:rsidRDefault="00BC1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5.3</w:t>
      </w:r>
    </w:p>
    <w:p w:rsidR="008E4D34" w:rsidRDefault="00BC13B7">
      <w:pPr>
        <w:rPr>
          <w:b/>
          <w:u w:val="single"/>
        </w:rPr>
      </w:pPr>
      <w:r>
        <w:rPr>
          <w:b/>
        </w:rPr>
        <w:t xml:space="preserve">9. </w:t>
      </w:r>
      <w:r w:rsidR="008E4D34" w:rsidRPr="008E4D34">
        <w:rPr>
          <w:b/>
          <w:u w:val="single"/>
        </w:rPr>
        <w:t>Proof (by mathematical induction):</w:t>
      </w:r>
    </w:p>
    <w:p w:rsidR="008E4D34" w:rsidRPr="008E4D34" w:rsidRDefault="008E4D34">
      <w:r>
        <w:t>For the given statement, the property is “7</w:t>
      </w:r>
      <w:r>
        <w:rPr>
          <w:vertAlign w:val="superscript"/>
        </w:rPr>
        <w:t>n</w:t>
      </w:r>
      <w:r>
        <w:t xml:space="preserve"> – 1 is divisible by 6.”</w:t>
      </w:r>
    </w:p>
    <w:p w:rsidR="008E4D34" w:rsidRDefault="008E4D34">
      <w:pPr>
        <w:rPr>
          <w:b/>
          <w:u w:val="single"/>
        </w:rPr>
      </w:pPr>
    </w:p>
    <w:p w:rsidR="008E4D34" w:rsidRDefault="008E4D34">
      <w:pPr>
        <w:rPr>
          <w:b/>
        </w:rPr>
      </w:pPr>
      <w:r>
        <w:rPr>
          <w:b/>
        </w:rPr>
        <w:t>Basic Step:</w:t>
      </w:r>
    </w:p>
    <w:p w:rsidR="008E4D34" w:rsidRPr="008E4D34" w:rsidRDefault="008E4D34">
      <w:r>
        <w:t>P(0) = 7</w:t>
      </w:r>
      <w:r>
        <w:rPr>
          <w:vertAlign w:val="superscript"/>
        </w:rPr>
        <w:t>0</w:t>
      </w:r>
      <w:r>
        <w:t xml:space="preserve"> – 1 = 1 – 1 = 0</w:t>
      </w:r>
    </w:p>
    <w:p w:rsidR="008E4D34" w:rsidRDefault="008E4D34">
      <w:r>
        <w:t>0 is divisible by 6 because 0 = 6 ∙ 0</w:t>
      </w:r>
    </w:p>
    <w:p w:rsidR="008E4D34" w:rsidRPr="008E4D34" w:rsidRDefault="008E4D34">
      <w:r>
        <w:t>Thus P(0) is true.</w:t>
      </w:r>
    </w:p>
    <w:p w:rsidR="00BC13B7" w:rsidRDefault="00BC13B7">
      <w:pPr>
        <w:rPr>
          <w:b/>
        </w:rPr>
      </w:pPr>
    </w:p>
    <w:p w:rsidR="008E4D34" w:rsidRDefault="008E4D34">
      <w:pPr>
        <w:rPr>
          <w:b/>
        </w:rPr>
      </w:pPr>
      <w:r>
        <w:rPr>
          <w:b/>
        </w:rPr>
        <w:t>Induction Step:</w:t>
      </w:r>
    </w:p>
    <w:p w:rsidR="008E4D34" w:rsidRDefault="008E4D34">
      <w:r>
        <w:t xml:space="preserve">Let k be any integer with k </w:t>
      </w:r>
      <w:r w:rsidR="0072483C" w:rsidRPr="0072483C">
        <w:t>≥</w:t>
      </w:r>
      <w:r w:rsidR="0072483C">
        <w:t xml:space="preserve"> 0, and suppose P(k) is true. That is, suppose 7</w:t>
      </w:r>
      <w:r w:rsidR="0072483C">
        <w:rPr>
          <w:vertAlign w:val="superscript"/>
        </w:rPr>
        <w:t>k</w:t>
      </w:r>
      <w:r w:rsidR="0072483C">
        <w:t xml:space="preserve"> – 1 is divisible by 6.</w:t>
      </w:r>
    </w:p>
    <w:p w:rsidR="0072483C" w:rsidRDefault="0072483C">
      <w:r>
        <w:t>P(k + 1) = 7</w:t>
      </w:r>
      <w:r>
        <w:rPr>
          <w:vertAlign w:val="superscript"/>
        </w:rPr>
        <w:t>k+1</w:t>
      </w:r>
      <w:r>
        <w:t xml:space="preserve"> – 1</w:t>
      </w:r>
    </w:p>
    <w:p w:rsidR="0072483C" w:rsidRDefault="0072483C">
      <w:r>
        <w:t>= 7</w:t>
      </w:r>
      <w:r>
        <w:rPr>
          <w:vertAlign w:val="superscript"/>
        </w:rPr>
        <w:t>k</w:t>
      </w:r>
      <w:r>
        <w:t xml:space="preserve"> ∙ 7 – 1</w:t>
      </w:r>
    </w:p>
    <w:p w:rsidR="0072483C" w:rsidRDefault="0072483C">
      <w:r>
        <w:t>= 7</w:t>
      </w:r>
      <w:r>
        <w:rPr>
          <w:vertAlign w:val="superscript"/>
        </w:rPr>
        <w:t>k</w:t>
      </w:r>
      <w:r>
        <w:t xml:space="preserve"> ∙ (6 + 1) – 1</w:t>
      </w:r>
    </w:p>
    <w:p w:rsidR="0072483C" w:rsidRDefault="0072483C">
      <w:r>
        <w:t>= 7</w:t>
      </w:r>
      <w:r>
        <w:rPr>
          <w:vertAlign w:val="superscript"/>
        </w:rPr>
        <w:t>k</w:t>
      </w:r>
      <w:r>
        <w:t xml:space="preserve"> ∙ 6 + 7</w:t>
      </w:r>
      <w:r>
        <w:rPr>
          <w:vertAlign w:val="superscript"/>
        </w:rPr>
        <w:t>k</w:t>
      </w:r>
      <w:r>
        <w:t xml:space="preserve"> – 1</w:t>
      </w:r>
      <w:r>
        <w:tab/>
      </w:r>
      <w:r>
        <w:tab/>
        <w:t>(equation 9.1)</w:t>
      </w:r>
    </w:p>
    <w:p w:rsidR="0072483C" w:rsidRDefault="0072483C"/>
    <w:p w:rsidR="0072483C" w:rsidRDefault="0072483C">
      <w:r>
        <w:t>By the inductive hypothesis 7</w:t>
      </w:r>
      <w:r>
        <w:rPr>
          <w:vertAlign w:val="superscript"/>
        </w:rPr>
        <w:t>k</w:t>
      </w:r>
      <w:r>
        <w:t xml:space="preserve"> – 1 is divisible by 6, and so 7</w:t>
      </w:r>
      <w:r>
        <w:rPr>
          <w:vertAlign w:val="superscript"/>
        </w:rPr>
        <w:t>k</w:t>
      </w:r>
      <w:r>
        <w:t xml:space="preserve"> – 1 = 6r for some integer r. </w:t>
      </w:r>
      <w:r w:rsidR="00433D29">
        <w:t>By substitution into equation 9.1:</w:t>
      </w:r>
    </w:p>
    <w:p w:rsidR="00433D29" w:rsidRDefault="00433D29"/>
    <w:p w:rsidR="00433D29" w:rsidRDefault="00433D29">
      <w:r>
        <w:t>7</w:t>
      </w:r>
      <w:r>
        <w:rPr>
          <w:vertAlign w:val="superscript"/>
        </w:rPr>
        <w:t>k+1</w:t>
      </w:r>
      <w:r>
        <w:t xml:space="preserve"> – 1 = 7</w:t>
      </w:r>
      <w:r>
        <w:rPr>
          <w:vertAlign w:val="superscript"/>
        </w:rPr>
        <w:t>k</w:t>
      </w:r>
      <w:r>
        <w:t xml:space="preserve"> ∙ 6 + 6r = 6 ∙ (7</w:t>
      </w:r>
      <w:r>
        <w:rPr>
          <w:vertAlign w:val="superscript"/>
        </w:rPr>
        <w:t>k</w:t>
      </w:r>
      <w:r>
        <w:t xml:space="preserve"> + r)</w:t>
      </w:r>
    </w:p>
    <w:p w:rsidR="00433D29" w:rsidRDefault="00433D29"/>
    <w:p w:rsidR="0072483C" w:rsidRPr="0072483C" w:rsidRDefault="00433D29">
      <w:pPr>
        <w:rPr>
          <w:vertAlign w:val="superscript"/>
        </w:rPr>
      </w:pPr>
      <w:r>
        <w:t>Since k and r are integers (7</w:t>
      </w:r>
      <w:r>
        <w:rPr>
          <w:vertAlign w:val="superscript"/>
        </w:rPr>
        <w:t>k</w:t>
      </w:r>
      <w:r>
        <w:t xml:space="preserve"> + r) is an integer. Hence, by definition of divisibility 7</w:t>
      </w:r>
      <w:r>
        <w:rPr>
          <w:vertAlign w:val="superscript"/>
        </w:rPr>
        <w:t>k+1</w:t>
      </w:r>
      <w:r>
        <w:t xml:space="preserve"> – 1 is divisible by 6.</w:t>
      </w:r>
    </w:p>
    <w:p w:rsidR="00BC13B7" w:rsidRDefault="00BC13B7">
      <w:pPr>
        <w:rPr>
          <w:b/>
          <w:sz w:val="28"/>
          <w:szCs w:val="28"/>
          <w:u w:val="single"/>
        </w:rPr>
      </w:pPr>
    </w:p>
    <w:p w:rsidR="00BC13B7" w:rsidRDefault="00BC1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5.6</w:t>
      </w:r>
    </w:p>
    <w:p w:rsidR="00325D5A" w:rsidRDefault="0032747A">
      <w:r>
        <w:rPr>
          <w:b/>
        </w:rPr>
        <w:t xml:space="preserve">20a. </w:t>
      </w:r>
      <w:r w:rsidR="009B4974">
        <w:t>Using k = 2 and since C</w:t>
      </w:r>
      <w:r w:rsidR="009B4974">
        <w:rPr>
          <w:vertAlign w:val="subscript"/>
        </w:rPr>
        <w:t>1</w:t>
      </w:r>
      <w:r w:rsidR="009B4974">
        <w:t xml:space="preserve"> = 1 and C</w:t>
      </w:r>
      <w:r w:rsidR="009B4974">
        <w:rPr>
          <w:vertAlign w:val="subscript"/>
        </w:rPr>
        <w:t>2</w:t>
      </w:r>
      <w:r w:rsidR="009B4974">
        <w:t xml:space="preserve"> = 5</w:t>
      </w:r>
      <w:r w:rsidR="00D62A65">
        <w:t xml:space="preserve">, </w:t>
      </w:r>
      <w:r w:rsidR="009B4974">
        <w:t>the minimum number of steps require</w:t>
      </w:r>
      <w:r w:rsidR="00D62A65">
        <w:t>d</w:t>
      </w:r>
      <w:r w:rsidR="009B4974">
        <w:t xml:space="preserve"> to move</w:t>
      </w:r>
      <w:r w:rsidR="00D62A65">
        <w:t xml:space="preserve"> two disks</w:t>
      </w:r>
      <w:r w:rsidR="009B4974">
        <w:t>,</w:t>
      </w:r>
    </w:p>
    <w:p w:rsidR="009B4974" w:rsidRDefault="009B4974">
      <w:r>
        <w:t>C</w:t>
      </w:r>
      <w:r>
        <w:rPr>
          <w:vertAlign w:val="subscript"/>
        </w:rPr>
        <w:t xml:space="preserve">2 </w:t>
      </w:r>
      <w:r>
        <w:t>≤ 4 ∙ C</w:t>
      </w:r>
      <w:r>
        <w:rPr>
          <w:vertAlign w:val="subscript"/>
        </w:rPr>
        <w:t>1</w:t>
      </w:r>
      <w:r>
        <w:t xml:space="preserve"> + 1</w:t>
      </w:r>
    </w:p>
    <w:p w:rsidR="009B4974" w:rsidRDefault="009B4974">
      <w:r>
        <w:t>5 ≤ 4 ∙ 1 + 1</w:t>
      </w:r>
    </w:p>
    <w:p w:rsidR="009B4974" w:rsidRDefault="009B4974">
      <w:r>
        <w:t>5 ≤</w:t>
      </w:r>
      <w:r w:rsidR="00D62A65">
        <w:t xml:space="preserve"> 5</w:t>
      </w:r>
      <w:r>
        <w:t xml:space="preserve"> </w:t>
      </w:r>
    </w:p>
    <w:p w:rsidR="00D62A65" w:rsidRDefault="00D62A65"/>
    <w:p w:rsidR="00D62A65" w:rsidRDefault="00D62A65">
      <w:r>
        <w:t>With C</w:t>
      </w:r>
      <w:r>
        <w:rPr>
          <w:vertAlign w:val="subscript"/>
        </w:rPr>
        <w:t>3</w:t>
      </w:r>
      <w:r>
        <w:t xml:space="preserve"> = 15, the minimum number of steps required to move three disks,</w:t>
      </w:r>
    </w:p>
    <w:p w:rsidR="00D62A65" w:rsidRDefault="00D62A65">
      <w:r>
        <w:t>C</w:t>
      </w:r>
      <w:r>
        <w:rPr>
          <w:vertAlign w:val="subscript"/>
        </w:rPr>
        <w:t xml:space="preserve">3 </w:t>
      </w:r>
      <w:r>
        <w:t>≤</w:t>
      </w:r>
      <w:r>
        <w:rPr>
          <w:vertAlign w:val="subscript"/>
        </w:rPr>
        <w:t xml:space="preserve"> </w:t>
      </w:r>
      <w:r>
        <w:t>4 ∙ C</w:t>
      </w:r>
      <w:r>
        <w:rPr>
          <w:vertAlign w:val="subscript"/>
        </w:rPr>
        <w:t>2</w:t>
      </w:r>
      <w:r>
        <w:t xml:space="preserve"> + 1</w:t>
      </w:r>
    </w:p>
    <w:p w:rsidR="00D62A65" w:rsidRDefault="00D62A65">
      <w:r>
        <w:t>15 ≤ 4 ∙ 5 + 1</w:t>
      </w:r>
    </w:p>
    <w:p w:rsidR="00D62A65" w:rsidRDefault="00D62A65">
      <w:r>
        <w:t>15 ≤ 21</w:t>
      </w:r>
    </w:p>
    <w:p w:rsidR="00D62A65" w:rsidRDefault="00D62A65"/>
    <w:p w:rsidR="00D62A65" w:rsidRPr="00D62A65" w:rsidRDefault="00D62A65">
      <w:r>
        <w:t>So, for all integers k ≥ 2</w:t>
      </w:r>
      <w:r w:rsidR="00D00FB7">
        <w:t>,</w:t>
      </w:r>
      <w:r>
        <w:t xml:space="preserve"> the inequality C</w:t>
      </w:r>
      <w:r>
        <w:rPr>
          <w:vertAlign w:val="subscript"/>
        </w:rPr>
        <w:t>k</w:t>
      </w:r>
      <w:r>
        <w:t xml:space="preserve"> ≤ </w:t>
      </w:r>
      <w:r w:rsidR="00166CF1">
        <w:t xml:space="preserve">4 ∙ </w:t>
      </w:r>
      <w:r>
        <w:t>C</w:t>
      </w:r>
      <w:r>
        <w:rPr>
          <w:vertAlign w:val="subscript"/>
        </w:rPr>
        <w:t>k-1</w:t>
      </w:r>
      <w:r>
        <w:t xml:space="preserve"> + 1</w:t>
      </w:r>
      <w:r w:rsidR="00D00FB7">
        <w:t xml:space="preserve"> holds.</w:t>
      </w:r>
    </w:p>
    <w:p w:rsidR="00BC13B7" w:rsidRDefault="00BC13B7">
      <w:pPr>
        <w:rPr>
          <w:b/>
          <w:sz w:val="28"/>
          <w:szCs w:val="28"/>
          <w:u w:val="single"/>
        </w:rPr>
      </w:pPr>
    </w:p>
    <w:p w:rsidR="00BC13B7" w:rsidRDefault="00BC1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5.7</w:t>
      </w:r>
    </w:p>
    <w:p w:rsidR="00166CF1" w:rsidRDefault="0094712D" w:rsidP="00BA3269">
      <w:r>
        <w:rPr>
          <w:b/>
        </w:rPr>
        <w:t xml:space="preserve">13. </w:t>
      </w:r>
    </w:p>
    <w:p w:rsidR="00BA3269" w:rsidRDefault="00BA3269" w:rsidP="00BA3269">
      <w:r>
        <w:t>T</w:t>
      </w:r>
      <w:r>
        <w:rPr>
          <w:vertAlign w:val="subscript"/>
        </w:rPr>
        <w:t>k</w:t>
      </w:r>
      <w:r>
        <w:t xml:space="preserve"> = T</w:t>
      </w:r>
      <w:r>
        <w:rPr>
          <w:vertAlign w:val="subscript"/>
        </w:rPr>
        <w:t>k-1</w:t>
      </w:r>
      <w:r>
        <w:t xml:space="preserve"> + 3k + 1, for all k ≥ 1 and T</w:t>
      </w:r>
      <w:r>
        <w:rPr>
          <w:vertAlign w:val="subscript"/>
        </w:rPr>
        <w:t>0</w:t>
      </w:r>
      <w:r>
        <w:t xml:space="preserve"> = 0</w:t>
      </w:r>
    </w:p>
    <w:p w:rsidR="00BA3269" w:rsidRDefault="00BA3269" w:rsidP="00BA3269"/>
    <w:p w:rsidR="00BA3269" w:rsidRDefault="00BA3269" w:rsidP="00BA3269">
      <w:r>
        <w:t>T</w:t>
      </w:r>
      <w:r>
        <w:rPr>
          <w:vertAlign w:val="subscript"/>
        </w:rPr>
        <w:t>k-1</w:t>
      </w:r>
      <w:r>
        <w:t xml:space="preserve"> = </w:t>
      </w:r>
      <w:r>
        <w:t>T</w:t>
      </w:r>
      <w:r>
        <w:rPr>
          <w:vertAlign w:val="subscript"/>
        </w:rPr>
        <w:t>k-2</w:t>
      </w:r>
      <w:r>
        <w:t xml:space="preserve"> + 3(k – 1) + 1</w:t>
      </w:r>
      <w:r w:rsidR="00BD343D">
        <w:tab/>
        <w:t>(equation 13.1)</w:t>
      </w:r>
    </w:p>
    <w:p w:rsidR="00BA3269" w:rsidRDefault="00BA3269" w:rsidP="00BA3269">
      <w:r>
        <w:t>T</w:t>
      </w:r>
      <w:r>
        <w:rPr>
          <w:vertAlign w:val="subscript"/>
        </w:rPr>
        <w:t>k-2</w:t>
      </w:r>
      <w:r>
        <w:t xml:space="preserve"> = </w:t>
      </w:r>
      <w:r>
        <w:t>T</w:t>
      </w:r>
      <w:r>
        <w:rPr>
          <w:vertAlign w:val="subscript"/>
        </w:rPr>
        <w:t>k-3</w:t>
      </w:r>
      <w:r>
        <w:t xml:space="preserve"> + 3(k – 2) + 1</w:t>
      </w:r>
      <w:r w:rsidR="00BD343D">
        <w:tab/>
        <w:t>(equation 13.2</w:t>
      </w:r>
      <w:r w:rsidR="00BD343D">
        <w:t>)</w:t>
      </w:r>
    </w:p>
    <w:p w:rsidR="00BA3269" w:rsidRDefault="00BA3269" w:rsidP="00BA3269">
      <w:r>
        <w:t>T</w:t>
      </w:r>
      <w:r>
        <w:rPr>
          <w:vertAlign w:val="subscript"/>
        </w:rPr>
        <w:t>k-3</w:t>
      </w:r>
      <w:r>
        <w:t xml:space="preserve"> = T</w:t>
      </w:r>
      <w:r>
        <w:rPr>
          <w:vertAlign w:val="subscript"/>
        </w:rPr>
        <w:t>k-4</w:t>
      </w:r>
      <w:r>
        <w:t xml:space="preserve"> + 3(k –</w:t>
      </w:r>
      <w:r>
        <w:t xml:space="preserve"> 3</w:t>
      </w:r>
      <w:r>
        <w:t>) + 1</w:t>
      </w:r>
      <w:r w:rsidR="00BD343D">
        <w:tab/>
        <w:t>(equation 13.3</w:t>
      </w:r>
      <w:r w:rsidR="00BD343D">
        <w:t>)</w:t>
      </w:r>
    </w:p>
    <w:p w:rsidR="00BD343D" w:rsidRDefault="00BD343D" w:rsidP="00BA3269"/>
    <w:p w:rsidR="00BD343D" w:rsidRDefault="00BD343D" w:rsidP="00BA3269"/>
    <w:p w:rsidR="00BD343D" w:rsidRDefault="00BD343D" w:rsidP="00BA3269">
      <w:r>
        <w:lastRenderedPageBreak/>
        <w:t>T</w:t>
      </w:r>
      <w:r>
        <w:rPr>
          <w:vertAlign w:val="subscript"/>
        </w:rPr>
        <w:t>k</w:t>
      </w:r>
      <w:r>
        <w:t xml:space="preserve"> = T</w:t>
      </w:r>
      <w:r>
        <w:rPr>
          <w:vertAlign w:val="subscript"/>
        </w:rPr>
        <w:t>k-1</w:t>
      </w:r>
      <w:r>
        <w:t xml:space="preserve"> + 3k + 1</w:t>
      </w:r>
    </w:p>
    <w:p w:rsidR="00BD343D" w:rsidRDefault="00BD343D" w:rsidP="00BA3269">
      <w:r>
        <w:t xml:space="preserve">= </w:t>
      </w:r>
      <w:r>
        <w:t>T</w:t>
      </w:r>
      <w:r>
        <w:rPr>
          <w:vertAlign w:val="subscript"/>
        </w:rPr>
        <w:t>k-2</w:t>
      </w:r>
      <w:r>
        <w:t xml:space="preserve"> + 3(k – 1) + 1</w:t>
      </w:r>
      <w:r>
        <w:t xml:space="preserve"> + 3k + 1</w:t>
      </w:r>
      <w:r>
        <w:tab/>
      </w:r>
      <w:r>
        <w:tab/>
        <w:t xml:space="preserve">(substituting 13.1 for </w:t>
      </w:r>
      <w:r>
        <w:t>T</w:t>
      </w:r>
      <w:r>
        <w:rPr>
          <w:vertAlign w:val="subscript"/>
        </w:rPr>
        <w:t>k-1</w:t>
      </w:r>
      <w:r>
        <w:t>)</w:t>
      </w:r>
    </w:p>
    <w:p w:rsidR="00BD343D" w:rsidRDefault="00BD343D" w:rsidP="00BA3269">
      <w:r>
        <w:t xml:space="preserve">= </w:t>
      </w:r>
      <w:r>
        <w:t>T</w:t>
      </w:r>
      <w:r>
        <w:rPr>
          <w:vertAlign w:val="subscript"/>
        </w:rPr>
        <w:t>k-2</w:t>
      </w:r>
      <w:r>
        <w:t xml:space="preserve"> + 3</w:t>
      </w:r>
      <w:r>
        <w:t>[</w:t>
      </w:r>
      <w:r>
        <w:t>(k – 1)</w:t>
      </w:r>
      <w:r>
        <w:t xml:space="preserve"> + k] + 1 </w:t>
      </w:r>
      <w:r>
        <w:t>∙</w:t>
      </w:r>
      <w:r>
        <w:t xml:space="preserve"> 2</w:t>
      </w:r>
    </w:p>
    <w:p w:rsidR="00BD343D" w:rsidRDefault="00BD343D" w:rsidP="00BD343D">
      <w:r>
        <w:t xml:space="preserve">= </w:t>
      </w:r>
      <w:r>
        <w:t>T</w:t>
      </w:r>
      <w:r>
        <w:rPr>
          <w:vertAlign w:val="subscript"/>
        </w:rPr>
        <w:t>k-3</w:t>
      </w:r>
      <w:r>
        <w:t xml:space="preserve"> + 3(k – 2) + 1</w:t>
      </w:r>
      <w:r>
        <w:t xml:space="preserve"> </w:t>
      </w:r>
      <w:r>
        <w:t>+ 3[(k – 1)</w:t>
      </w:r>
      <w:r>
        <w:t xml:space="preserve"> + k] + 1 </w:t>
      </w:r>
      <w:r>
        <w:t>∙</w:t>
      </w:r>
      <w:r>
        <w:t xml:space="preserve"> 2</w:t>
      </w:r>
      <w:r>
        <w:tab/>
        <w:t>(substituting 13.2</w:t>
      </w:r>
      <w:r>
        <w:t xml:space="preserve"> for T</w:t>
      </w:r>
      <w:r>
        <w:rPr>
          <w:vertAlign w:val="subscript"/>
        </w:rPr>
        <w:t>k-2</w:t>
      </w:r>
      <w:r>
        <w:t>)</w:t>
      </w:r>
    </w:p>
    <w:p w:rsidR="00BD343D" w:rsidRDefault="00BD343D" w:rsidP="00BD343D">
      <w:r>
        <w:t xml:space="preserve">= </w:t>
      </w:r>
      <w:r>
        <w:t>T</w:t>
      </w:r>
      <w:r>
        <w:rPr>
          <w:vertAlign w:val="subscript"/>
        </w:rPr>
        <w:t>k-3</w:t>
      </w:r>
      <w:r>
        <w:t xml:space="preserve"> + 3[(k – 2)(k – 1) + k] + 1 </w:t>
      </w:r>
      <w:r>
        <w:t>∙</w:t>
      </w:r>
      <w:r>
        <w:t xml:space="preserve"> 3</w:t>
      </w:r>
    </w:p>
    <w:p w:rsidR="001244BA" w:rsidRDefault="001244BA" w:rsidP="00BD343D"/>
    <w:p w:rsidR="001244BA" w:rsidRDefault="001244BA" w:rsidP="00BD343D">
      <w:r>
        <w:t>T</w:t>
      </w:r>
      <w:r>
        <w:rPr>
          <w:vertAlign w:val="subscript"/>
        </w:rPr>
        <w:t>k-k</w:t>
      </w:r>
      <w:r>
        <w:t xml:space="preserve"> + 3[(k(k+1))/2] + 1 </w:t>
      </w:r>
      <w:r>
        <w:t>∙</w:t>
      </w:r>
      <w:r>
        <w:t xml:space="preserve"> k</w:t>
      </w:r>
    </w:p>
    <w:p w:rsidR="001244BA" w:rsidRPr="001244BA" w:rsidRDefault="001244BA" w:rsidP="00BD343D">
      <w:r>
        <w:t xml:space="preserve">= 0 + </w:t>
      </w:r>
      <w:r>
        <w:t>3[(k(k+1))/2] + 1 ∙ k</w:t>
      </w:r>
      <w:r>
        <w:tab/>
      </w:r>
      <w:r>
        <w:tab/>
        <w:t xml:space="preserve">(since </w:t>
      </w:r>
      <w:r>
        <w:t>T</w:t>
      </w:r>
      <w:r>
        <w:rPr>
          <w:vertAlign w:val="subscript"/>
        </w:rPr>
        <w:t>k-k</w:t>
      </w:r>
      <w:r>
        <w:t xml:space="preserve"> = </w:t>
      </w:r>
      <w:r>
        <w:t>T</w:t>
      </w:r>
      <w:r>
        <w:rPr>
          <w:vertAlign w:val="subscript"/>
        </w:rPr>
        <w:t>0</w:t>
      </w:r>
      <w:r>
        <w:t xml:space="preserve"> = 0</w:t>
      </w:r>
      <w:r>
        <w:t>)</w:t>
      </w:r>
    </w:p>
    <w:p w:rsidR="00BA3269" w:rsidRPr="00BA3269" w:rsidRDefault="001244BA" w:rsidP="00BA3269">
      <w:r>
        <w:t>= 3[(k(k+1))/2] + k</w:t>
      </w:r>
    </w:p>
    <w:p w:rsidR="00BC13B7" w:rsidRDefault="00BC13B7">
      <w:pPr>
        <w:rPr>
          <w:b/>
          <w:sz w:val="28"/>
          <w:szCs w:val="28"/>
          <w:u w:val="single"/>
        </w:rPr>
      </w:pPr>
    </w:p>
    <w:p w:rsidR="00BC13B7" w:rsidRDefault="00BC13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5.8</w:t>
      </w:r>
    </w:p>
    <w:p w:rsidR="00CB10A1" w:rsidRDefault="001244BA">
      <w:r>
        <w:rPr>
          <w:b/>
        </w:rPr>
        <w:t>12.</w:t>
      </w:r>
      <w:r w:rsidR="00B831F0">
        <w:rPr>
          <w:b/>
        </w:rPr>
        <w:t xml:space="preserve"> </w:t>
      </w:r>
      <w:r w:rsidR="00B831F0">
        <w:t xml:space="preserve">This is a distinct roots case, </w:t>
      </w:r>
      <w:r w:rsidR="00CB10A1">
        <w:t>using Theorem 5.8.3,</w:t>
      </w:r>
      <w:r w:rsidR="00B831F0">
        <w:t xml:space="preserve"> t</w:t>
      </w:r>
      <w:r w:rsidR="00B831F0">
        <w:rPr>
          <w:vertAlign w:val="superscript"/>
        </w:rPr>
        <w:t>2</w:t>
      </w:r>
      <w:r w:rsidR="00B831F0">
        <w:t xml:space="preserve"> – 0t – 9 </w:t>
      </w:r>
      <w:r w:rsidR="00CB10A1">
        <w:t>= 0 is</w:t>
      </w:r>
      <w:r w:rsidR="00540060">
        <w:t xml:space="preserve"> the</w:t>
      </w:r>
      <w:r w:rsidR="00B831F0">
        <w:t xml:space="preserve"> characteristic eq</w:t>
      </w:r>
      <w:r w:rsidR="00CB10A1">
        <w:t>uation. Factoring leads to</w:t>
      </w:r>
      <w:r w:rsidR="00540060">
        <w:t xml:space="preserve"> (x – 3)(x + 3) = 0 so,</w:t>
      </w:r>
      <w:r w:rsidR="00CB10A1">
        <w:t xml:space="preserve"> r = 3 and s = -3. </w:t>
      </w:r>
    </w:p>
    <w:p w:rsidR="00CB10A1" w:rsidRDefault="00CB10A1"/>
    <w:p w:rsidR="00CB10A1" w:rsidRDefault="00CB10A1">
      <w:r>
        <w:t>E</w:t>
      </w:r>
      <w:r>
        <w:rPr>
          <w:vertAlign w:val="subscript"/>
        </w:rPr>
        <w:t xml:space="preserve">n </w:t>
      </w:r>
      <w:r>
        <w:t xml:space="preserve">= C </w:t>
      </w:r>
      <w:r>
        <w:t>∙</w:t>
      </w:r>
      <w:r>
        <w:t xml:space="preserve"> 3</w:t>
      </w:r>
      <w:r>
        <w:rPr>
          <w:vertAlign w:val="superscript"/>
        </w:rPr>
        <w:t>n</w:t>
      </w:r>
      <w:r>
        <w:t xml:space="preserve"> + D </w:t>
      </w:r>
      <w:r>
        <w:t>∙</w:t>
      </w:r>
      <w:r>
        <w:t xml:space="preserve"> (-3)</w:t>
      </w:r>
      <w:r>
        <w:rPr>
          <w:vertAlign w:val="superscript"/>
        </w:rPr>
        <w:t>n</w:t>
      </w:r>
    </w:p>
    <w:p w:rsidR="00CB10A1" w:rsidRDefault="00CB10A1">
      <w:r>
        <w:t>E</w:t>
      </w:r>
      <w:r>
        <w:rPr>
          <w:vertAlign w:val="subscript"/>
        </w:rPr>
        <w:t>0</w:t>
      </w:r>
      <w:r>
        <w:t xml:space="preserve"> = 0 = C + D so, C = -D</w:t>
      </w:r>
    </w:p>
    <w:p w:rsidR="00CB10A1" w:rsidRDefault="00CB10A1">
      <w:pPr>
        <w:rPr>
          <w:vertAlign w:val="superscript"/>
        </w:rPr>
      </w:pPr>
      <w:r>
        <w:t>E</w:t>
      </w:r>
      <w:r>
        <w:rPr>
          <w:vertAlign w:val="subscript"/>
        </w:rPr>
        <w:t>1</w:t>
      </w:r>
      <w:r>
        <w:t xml:space="preserve"> = 2 = C </w:t>
      </w:r>
      <w:r>
        <w:t>∙ 3</w:t>
      </w:r>
      <w:r>
        <w:rPr>
          <w:vertAlign w:val="superscript"/>
        </w:rPr>
        <w:t>1</w:t>
      </w:r>
      <w:r>
        <w:t xml:space="preserve"> + D ∙ (-3)</w:t>
      </w:r>
      <w:r>
        <w:rPr>
          <w:vertAlign w:val="superscript"/>
        </w:rPr>
        <w:t>1</w:t>
      </w:r>
    </w:p>
    <w:p w:rsidR="00CB10A1" w:rsidRDefault="00CB10A1">
      <w:r>
        <w:t>2 = -3D – 3D</w:t>
      </w:r>
      <w:r>
        <w:tab/>
      </w:r>
      <w:r>
        <w:tab/>
        <w:t>(substituting C = -D)</w:t>
      </w:r>
    </w:p>
    <w:p w:rsidR="00CB10A1" w:rsidRDefault="00CB10A1">
      <w:r>
        <w:t>D = -1/3</w:t>
      </w:r>
    </w:p>
    <w:p w:rsidR="00CB10A1" w:rsidRPr="00AE359D" w:rsidRDefault="00CB10A1" w:rsidP="00CB10A1">
      <w:r>
        <w:t xml:space="preserve">Therefore, C = 1/3 and the formula is </w:t>
      </w:r>
      <w:r>
        <w:t>E</w:t>
      </w:r>
      <w:r w:rsidR="00AE359D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= (1/3)</w:t>
      </w:r>
      <w:r>
        <w:t xml:space="preserve"> ∙ 3</w:t>
      </w:r>
      <w:r w:rsidR="00AE359D">
        <w:rPr>
          <w:vertAlign w:val="superscript"/>
        </w:rPr>
        <w:t>k</w:t>
      </w:r>
      <w:r>
        <w:t xml:space="preserve"> + (-1/3)</w:t>
      </w:r>
      <w:r>
        <w:t xml:space="preserve"> ∙ (-3)</w:t>
      </w:r>
      <w:r w:rsidR="00AE359D">
        <w:rPr>
          <w:vertAlign w:val="superscript"/>
        </w:rPr>
        <w:t>k</w:t>
      </w:r>
      <w:r w:rsidR="00AE359D">
        <w:t xml:space="preserve"> for all</w:t>
      </w:r>
      <w:r w:rsidR="00BA56F0">
        <w:t xml:space="preserve"> integers</w:t>
      </w:r>
      <w:r w:rsidR="00AE359D">
        <w:t xml:space="preserve"> k ≥ 2</w:t>
      </w:r>
    </w:p>
    <w:p w:rsidR="00CB10A1" w:rsidRDefault="00CB10A1">
      <w:pPr>
        <w:rPr>
          <w:rFonts w:eastAsiaTheme="minorEastAsia"/>
        </w:rPr>
      </w:pPr>
    </w:p>
    <w:p w:rsidR="000334B8" w:rsidRDefault="000334B8">
      <w:pPr>
        <w:rPr>
          <w:rFonts w:eastAsiaTheme="minorEastAsia"/>
        </w:rPr>
      </w:pPr>
      <w:r>
        <w:rPr>
          <w:rFonts w:eastAsiaTheme="minorEastAsia"/>
          <w:b/>
        </w:rPr>
        <w:t>15.</w:t>
      </w:r>
      <w:r w:rsidR="00540060">
        <w:rPr>
          <w:rFonts w:eastAsiaTheme="minorEastAsia"/>
          <w:b/>
        </w:rPr>
        <w:t xml:space="preserve"> </w:t>
      </w:r>
      <w:r w:rsidR="00540060">
        <w:rPr>
          <w:rFonts w:eastAsiaTheme="minorEastAsia"/>
        </w:rPr>
        <w:t>This is a single roots case, using Theorem 5.8.5, t</w:t>
      </w:r>
      <w:r w:rsidR="00540060">
        <w:rPr>
          <w:rFonts w:eastAsiaTheme="minorEastAsia"/>
          <w:vertAlign w:val="superscript"/>
        </w:rPr>
        <w:t>2</w:t>
      </w:r>
      <w:r w:rsidR="00540060">
        <w:rPr>
          <w:rFonts w:eastAsiaTheme="minorEastAsia"/>
        </w:rPr>
        <w:t xml:space="preserve"> – 6t + 9 = 0 is the characteristic equation.</w:t>
      </w:r>
    </w:p>
    <w:p w:rsidR="00540060" w:rsidRDefault="00540060">
      <w:pPr>
        <w:rPr>
          <w:rFonts w:eastAsiaTheme="minorEastAsia"/>
        </w:rPr>
      </w:pPr>
      <w:r>
        <w:rPr>
          <w:rFonts w:eastAsiaTheme="minorEastAsia"/>
        </w:rPr>
        <w:t>Factoring leads to (t – 3)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0 so, r = s = 0.</w:t>
      </w:r>
    </w:p>
    <w:p w:rsidR="00540060" w:rsidRDefault="00540060">
      <w:pPr>
        <w:rPr>
          <w:rFonts w:eastAsiaTheme="minorEastAsia"/>
        </w:rPr>
      </w:pPr>
    </w:p>
    <w:p w:rsidR="00540060" w:rsidRDefault="00540060">
      <w:pPr>
        <w:rPr>
          <w:vertAlign w:val="subscript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</w:t>
      </w:r>
      <w:r>
        <w:t>C ∙ 3</w:t>
      </w:r>
      <w:r>
        <w:rPr>
          <w:vertAlign w:val="superscript"/>
        </w:rPr>
        <w:t>n</w:t>
      </w:r>
      <w:r>
        <w:t xml:space="preserve"> + D ∙</w:t>
      </w:r>
      <w:r>
        <w:t xml:space="preserve"> n </w:t>
      </w:r>
      <w:r>
        <w:t>∙</w:t>
      </w:r>
      <w:r>
        <w:t xml:space="preserve"> 3</w:t>
      </w:r>
      <w:r>
        <w:rPr>
          <w:vertAlign w:val="superscript"/>
        </w:rPr>
        <w:t>n</w:t>
      </w:r>
    </w:p>
    <w:p w:rsidR="00540060" w:rsidRDefault="00540060">
      <w:r>
        <w:t>T</w:t>
      </w:r>
      <w:r>
        <w:rPr>
          <w:vertAlign w:val="subscript"/>
        </w:rPr>
        <w:t>0</w:t>
      </w:r>
      <w:r>
        <w:t xml:space="preserve"> = 1 = C</w:t>
      </w:r>
      <w:r>
        <w:t xml:space="preserve"> ∙</w:t>
      </w:r>
      <w:r>
        <w:t xml:space="preserve"> </w:t>
      </w:r>
      <w:r>
        <w:t>3</w:t>
      </w:r>
      <w:r>
        <w:rPr>
          <w:vertAlign w:val="superscript"/>
        </w:rPr>
        <w:t>0</w:t>
      </w:r>
      <w:r>
        <w:t xml:space="preserve"> + D ∙</w:t>
      </w:r>
      <w:r>
        <w:t xml:space="preserve"> 0</w:t>
      </w:r>
      <w:r>
        <w:t xml:space="preserve"> ∙ 3</w:t>
      </w:r>
      <w:r>
        <w:rPr>
          <w:vertAlign w:val="superscript"/>
        </w:rPr>
        <w:t>0</w:t>
      </w:r>
      <w:r>
        <w:t xml:space="preserve"> so, C = 1</w:t>
      </w:r>
    </w:p>
    <w:p w:rsidR="00540060" w:rsidRDefault="00540060">
      <w:pPr>
        <w:rPr>
          <w:vertAlign w:val="superscript"/>
        </w:rPr>
      </w:pPr>
      <w:r>
        <w:t>T</w:t>
      </w:r>
      <w:r>
        <w:rPr>
          <w:vertAlign w:val="subscript"/>
        </w:rPr>
        <w:t>1</w:t>
      </w:r>
      <w:r>
        <w:t xml:space="preserve"> = 3 = </w:t>
      </w:r>
      <w:r>
        <w:t>C ∙ 3</w:t>
      </w:r>
      <w:r>
        <w:rPr>
          <w:vertAlign w:val="superscript"/>
        </w:rPr>
        <w:t>1</w:t>
      </w:r>
      <w:r>
        <w:t xml:space="preserve"> + D ∙</w:t>
      </w:r>
      <w:r>
        <w:t xml:space="preserve"> 1</w:t>
      </w:r>
      <w:r>
        <w:t xml:space="preserve"> ∙ 3</w:t>
      </w:r>
      <w:r>
        <w:rPr>
          <w:vertAlign w:val="superscript"/>
        </w:rPr>
        <w:t>1</w:t>
      </w:r>
    </w:p>
    <w:p w:rsidR="00540060" w:rsidRDefault="00540060">
      <w:r>
        <w:t>3 = 3C + 3D</w:t>
      </w:r>
    </w:p>
    <w:p w:rsidR="00540060" w:rsidRDefault="00540060">
      <w:r>
        <w:t>0 = 3D</w:t>
      </w:r>
      <w:r>
        <w:tab/>
      </w:r>
      <w:r>
        <w:tab/>
        <w:t>(substituting C = 1 and subtracting from LHS)</w:t>
      </w:r>
    </w:p>
    <w:p w:rsidR="00540060" w:rsidRDefault="00540060">
      <w:r>
        <w:t>D = 0</w:t>
      </w:r>
    </w:p>
    <w:p w:rsidR="00540060" w:rsidRDefault="00540060"/>
    <w:p w:rsidR="00540060" w:rsidRDefault="00540060">
      <w:r>
        <w:t>Therefore, the formula is T</w:t>
      </w:r>
      <w:r>
        <w:rPr>
          <w:vertAlign w:val="subscript"/>
        </w:rPr>
        <w:t>k</w:t>
      </w:r>
      <w:r>
        <w:t xml:space="preserve"> = 1 </w:t>
      </w:r>
      <w:r>
        <w:t>∙ 3</w:t>
      </w:r>
      <w:r>
        <w:rPr>
          <w:vertAlign w:val="superscript"/>
        </w:rPr>
        <w:t>k</w:t>
      </w:r>
      <w:r>
        <w:t xml:space="preserve"> + 0</w:t>
      </w:r>
      <w:r>
        <w:t xml:space="preserve"> ∙</w:t>
      </w:r>
      <w:r>
        <w:t xml:space="preserve"> k</w:t>
      </w:r>
      <w:r>
        <w:t xml:space="preserve"> ∙ 3</w:t>
      </w:r>
      <w:r>
        <w:rPr>
          <w:vertAlign w:val="superscript"/>
        </w:rPr>
        <w:t>k</w:t>
      </w:r>
      <w:r>
        <w:t xml:space="preserve"> = 3</w:t>
      </w:r>
      <w:r>
        <w:rPr>
          <w:vertAlign w:val="superscript"/>
        </w:rPr>
        <w:t>k</w:t>
      </w:r>
      <w:r w:rsidR="00BA56F0">
        <w:t xml:space="preserve"> for all integers k </w:t>
      </w:r>
      <w:r w:rsidR="00BA56F0">
        <w:t>≥ 2</w:t>
      </w:r>
    </w:p>
    <w:p w:rsidR="002F2431" w:rsidRDefault="002F2431"/>
    <w:p w:rsidR="002F2431" w:rsidRDefault="002F24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Implementation Problem</w:t>
      </w:r>
    </w:p>
    <w:p w:rsidR="00550430" w:rsidRDefault="00550430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440"/>
      </w:tblGrid>
      <w:tr w:rsidR="00AE4072" w:rsidTr="00AE4072">
        <w:tc>
          <w:tcPr>
            <w:tcW w:w="2425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Processor Speed</w:t>
            </w:r>
          </w:p>
        </w:tc>
        <w:tc>
          <w:tcPr>
            <w:tcW w:w="1440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 GHz</w:t>
            </w:r>
          </w:p>
        </w:tc>
      </w:tr>
      <w:tr w:rsidR="00AE4072" w:rsidTr="00AE4072">
        <w:tc>
          <w:tcPr>
            <w:tcW w:w="2425" w:type="dxa"/>
          </w:tcPr>
          <w:p w:rsidR="00AE4072" w:rsidRDefault="00AE4072" w:rsidP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No. of cores</w:t>
            </w:r>
          </w:p>
        </w:tc>
        <w:tc>
          <w:tcPr>
            <w:tcW w:w="1440" w:type="dxa"/>
          </w:tcPr>
          <w:p w:rsidR="00AE4072" w:rsidRDefault="005504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AE4072" w:rsidTr="00AE4072">
        <w:tc>
          <w:tcPr>
            <w:tcW w:w="2425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Sze of Memory</w:t>
            </w:r>
          </w:p>
        </w:tc>
        <w:tc>
          <w:tcPr>
            <w:tcW w:w="1440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GB</w:t>
            </w:r>
          </w:p>
        </w:tc>
      </w:tr>
      <w:tr w:rsidR="00AE4072" w:rsidTr="00AE4072">
        <w:tc>
          <w:tcPr>
            <w:tcW w:w="2425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Operating System</w:t>
            </w:r>
          </w:p>
        </w:tc>
        <w:tc>
          <w:tcPr>
            <w:tcW w:w="1440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Windows 8.1</w:t>
            </w:r>
          </w:p>
        </w:tc>
      </w:tr>
      <w:tr w:rsidR="00AE4072" w:rsidTr="00AE4072">
        <w:tc>
          <w:tcPr>
            <w:tcW w:w="2425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Programming Language</w:t>
            </w:r>
          </w:p>
        </w:tc>
        <w:tc>
          <w:tcPr>
            <w:tcW w:w="1440" w:type="dxa"/>
          </w:tcPr>
          <w:p w:rsidR="00AE4072" w:rsidRDefault="00AE4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Java</w:t>
            </w:r>
          </w:p>
        </w:tc>
      </w:tr>
    </w:tbl>
    <w:p w:rsidR="002F2431" w:rsidRDefault="002F2431">
      <w:pPr>
        <w:rPr>
          <w:rFonts w:eastAsiaTheme="minorEastAsia"/>
        </w:rPr>
      </w:pPr>
    </w:p>
    <w:p w:rsidR="00550430" w:rsidRDefault="00550430">
      <w:pPr>
        <w:rPr>
          <w:rFonts w:eastAsiaTheme="minorEastAsia"/>
        </w:rPr>
      </w:pPr>
    </w:p>
    <w:p w:rsidR="00A26BAC" w:rsidRDefault="00A26BAC">
      <w:pPr>
        <w:rPr>
          <w:rFonts w:eastAsiaTheme="minorEastAsia"/>
        </w:rPr>
      </w:pPr>
    </w:p>
    <w:p w:rsidR="00A26BAC" w:rsidRDefault="00A26BAC">
      <w:pPr>
        <w:rPr>
          <w:rFonts w:eastAsiaTheme="minorEastAsia"/>
        </w:rPr>
      </w:pPr>
    </w:p>
    <w:p w:rsidR="002D1252" w:rsidRDefault="002D1252">
      <w:pPr>
        <w:rPr>
          <w:rFonts w:eastAsiaTheme="minorEastAsia"/>
        </w:rPr>
      </w:pPr>
    </w:p>
    <w:p w:rsidR="00A26BAC" w:rsidRDefault="00A26BA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443"/>
        <w:gridCol w:w="2464"/>
        <w:gridCol w:w="2635"/>
        <w:gridCol w:w="2368"/>
      </w:tblGrid>
      <w:tr w:rsidR="00A26BAC" w:rsidTr="00D84DAB">
        <w:trPr>
          <w:trHeight w:val="440"/>
        </w:trPr>
        <w:tc>
          <w:tcPr>
            <w:tcW w:w="440" w:type="dxa"/>
          </w:tcPr>
          <w:p w:rsidR="00A26BAC" w:rsidRDefault="002D1252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65" w:type="dxa"/>
          </w:tcPr>
          <w:p w:rsidR="00A26BAC" w:rsidRPr="002D1252" w:rsidRDefault="002D1252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/>
                <w:vertAlign w:val="subscript"/>
              </w:rPr>
              <w:t>n</w:t>
            </w:r>
          </w:p>
        </w:tc>
        <w:tc>
          <w:tcPr>
            <w:tcW w:w="2520" w:type="dxa"/>
          </w:tcPr>
          <w:p w:rsidR="00A26BAC" w:rsidRDefault="002D1252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Elapsed Time with Recursive Method (ms)</w:t>
            </w:r>
          </w:p>
        </w:tc>
        <w:tc>
          <w:tcPr>
            <w:tcW w:w="2700" w:type="dxa"/>
          </w:tcPr>
          <w:p w:rsidR="00A26BAC" w:rsidRDefault="002D1252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Elapsed Time with Inductive Method (ms)</w:t>
            </w:r>
          </w:p>
        </w:tc>
        <w:tc>
          <w:tcPr>
            <w:tcW w:w="2425" w:type="dxa"/>
          </w:tcPr>
          <w:p w:rsidR="00A26BAC" w:rsidRDefault="002D1252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Elapsed Time with Formula (ms)</w:t>
            </w:r>
          </w:p>
        </w:tc>
      </w:tr>
      <w:tr w:rsidR="00A26BAC" w:rsidTr="00D84DAB">
        <w:tc>
          <w:tcPr>
            <w:tcW w:w="440" w:type="dxa"/>
          </w:tcPr>
          <w:p w:rsidR="00A26BAC" w:rsidRDefault="002D1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65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2520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2700" w:type="dxa"/>
          </w:tcPr>
          <w:p w:rsidR="00A26BAC" w:rsidRDefault="00676A4E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0.0032</w:t>
            </w:r>
          </w:p>
        </w:tc>
        <w:tc>
          <w:tcPr>
            <w:tcW w:w="2425" w:type="dxa"/>
          </w:tcPr>
          <w:p w:rsidR="00A26BAC" w:rsidRDefault="00673855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0.0148</w:t>
            </w:r>
          </w:p>
        </w:tc>
      </w:tr>
      <w:tr w:rsidR="00A26BAC" w:rsidTr="00D84DAB">
        <w:tc>
          <w:tcPr>
            <w:tcW w:w="440" w:type="dxa"/>
          </w:tcPr>
          <w:p w:rsidR="00A26BAC" w:rsidRDefault="002D1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265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6765</w:t>
            </w:r>
          </w:p>
        </w:tc>
        <w:tc>
          <w:tcPr>
            <w:tcW w:w="2520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0.42</w:t>
            </w:r>
          </w:p>
        </w:tc>
        <w:tc>
          <w:tcPr>
            <w:tcW w:w="2700" w:type="dxa"/>
          </w:tcPr>
          <w:p w:rsidR="00A26BAC" w:rsidRDefault="00676A4E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0.0049</w:t>
            </w:r>
          </w:p>
        </w:tc>
        <w:tc>
          <w:tcPr>
            <w:tcW w:w="2425" w:type="dxa"/>
          </w:tcPr>
          <w:p w:rsidR="00A26BAC" w:rsidRDefault="00673855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0.0189</w:t>
            </w:r>
          </w:p>
        </w:tc>
      </w:tr>
      <w:tr w:rsidR="00A26BAC" w:rsidTr="00D84DAB">
        <w:tc>
          <w:tcPr>
            <w:tcW w:w="440" w:type="dxa"/>
          </w:tcPr>
          <w:p w:rsidR="00A26BAC" w:rsidRDefault="002D1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1265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832040</w:t>
            </w:r>
          </w:p>
        </w:tc>
        <w:tc>
          <w:tcPr>
            <w:tcW w:w="2520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4.94</w:t>
            </w:r>
          </w:p>
        </w:tc>
        <w:tc>
          <w:tcPr>
            <w:tcW w:w="2700" w:type="dxa"/>
          </w:tcPr>
          <w:p w:rsidR="00A26BAC" w:rsidRDefault="00676A4E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0.0053</w:t>
            </w:r>
          </w:p>
        </w:tc>
        <w:tc>
          <w:tcPr>
            <w:tcW w:w="2425" w:type="dxa"/>
          </w:tcPr>
          <w:p w:rsidR="00A26BAC" w:rsidRDefault="00673855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0.0229</w:t>
            </w:r>
          </w:p>
        </w:tc>
      </w:tr>
      <w:tr w:rsidR="00A26BAC" w:rsidTr="00D84DAB">
        <w:tc>
          <w:tcPr>
            <w:tcW w:w="440" w:type="dxa"/>
          </w:tcPr>
          <w:p w:rsidR="00A26BAC" w:rsidRDefault="002D1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265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102334155</w:t>
            </w:r>
          </w:p>
        </w:tc>
        <w:tc>
          <w:tcPr>
            <w:tcW w:w="2520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492.7</w:t>
            </w:r>
          </w:p>
        </w:tc>
        <w:tc>
          <w:tcPr>
            <w:tcW w:w="2700" w:type="dxa"/>
          </w:tcPr>
          <w:p w:rsidR="00A26BAC" w:rsidRDefault="00676A4E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0.0061</w:t>
            </w:r>
          </w:p>
        </w:tc>
        <w:tc>
          <w:tcPr>
            <w:tcW w:w="2425" w:type="dxa"/>
          </w:tcPr>
          <w:p w:rsidR="00A26BAC" w:rsidRDefault="00673855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0.025</w:t>
            </w:r>
          </w:p>
        </w:tc>
      </w:tr>
      <w:tr w:rsidR="00A26BAC" w:rsidTr="00D84DAB">
        <w:tc>
          <w:tcPr>
            <w:tcW w:w="440" w:type="dxa"/>
          </w:tcPr>
          <w:p w:rsidR="00A26BAC" w:rsidRDefault="002D1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265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12586269025</w:t>
            </w:r>
          </w:p>
        </w:tc>
        <w:tc>
          <w:tcPr>
            <w:tcW w:w="2520" w:type="dxa"/>
          </w:tcPr>
          <w:p w:rsidR="00A26BAC" w:rsidRDefault="00D84DAB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59251.73</w:t>
            </w:r>
          </w:p>
        </w:tc>
        <w:tc>
          <w:tcPr>
            <w:tcW w:w="2700" w:type="dxa"/>
          </w:tcPr>
          <w:p w:rsidR="00A26BAC" w:rsidRDefault="00676A4E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0.0065</w:t>
            </w:r>
          </w:p>
        </w:tc>
        <w:tc>
          <w:tcPr>
            <w:tcW w:w="2425" w:type="dxa"/>
          </w:tcPr>
          <w:p w:rsidR="00A26BAC" w:rsidRDefault="00673855" w:rsidP="00D84D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0.0201</w:t>
            </w:r>
          </w:p>
        </w:tc>
      </w:tr>
    </w:tbl>
    <w:p w:rsidR="00A26BAC" w:rsidRDefault="00A26BAC">
      <w:pPr>
        <w:rPr>
          <w:rFonts w:eastAsiaTheme="minorEastAsia"/>
        </w:rPr>
      </w:pPr>
    </w:p>
    <w:p w:rsidR="00377E0A" w:rsidRDefault="00377E0A">
      <w:pPr>
        <w:rPr>
          <w:rFonts w:eastAsiaTheme="minorEastAsia"/>
        </w:rPr>
      </w:pPr>
    </w:p>
    <w:p w:rsidR="00377E0A" w:rsidRDefault="00FB6971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2CB43538" wp14:editId="186A6F3A">
            <wp:extent cx="5859780" cy="35052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7E0A" w:rsidRDefault="00377E0A">
      <w:pPr>
        <w:rPr>
          <w:rFonts w:eastAsiaTheme="minorEastAsia"/>
        </w:rPr>
      </w:pPr>
    </w:p>
    <w:p w:rsidR="00377E0A" w:rsidRDefault="00377E0A">
      <w:pPr>
        <w:rPr>
          <w:rFonts w:eastAsiaTheme="minorEastAsia"/>
        </w:rPr>
      </w:pPr>
      <w:bookmarkStart w:id="0" w:name="_GoBack"/>
      <w:bookmarkEnd w:id="0"/>
    </w:p>
    <w:p w:rsidR="00377E0A" w:rsidRDefault="00377E0A">
      <w:pPr>
        <w:rPr>
          <w:rFonts w:eastAsiaTheme="minorEastAsia"/>
        </w:rPr>
      </w:pPr>
    </w:p>
    <w:p w:rsidR="00377E0A" w:rsidRDefault="00377E0A">
      <w:pPr>
        <w:rPr>
          <w:rFonts w:eastAsiaTheme="minorEastAsia"/>
        </w:rPr>
      </w:pPr>
    </w:p>
    <w:p w:rsidR="00377E0A" w:rsidRDefault="00377E0A">
      <w:pPr>
        <w:rPr>
          <w:rFonts w:eastAsiaTheme="minorEastAsia"/>
        </w:rPr>
      </w:pPr>
    </w:p>
    <w:p w:rsidR="00377E0A" w:rsidRPr="00AE4072" w:rsidRDefault="00377E0A">
      <w:pPr>
        <w:rPr>
          <w:rFonts w:eastAsiaTheme="minorEastAsia"/>
        </w:rPr>
      </w:pPr>
      <w:r>
        <w:rPr>
          <w:rFonts w:eastAsiaTheme="minorEastAsia"/>
        </w:rPr>
        <w:t xml:space="preserve">I preferred writing the code for the inductive method, probably because it was just a simple for loop. The recursive method was also rather easy to code, while the formula was messy mainly because of calling </w:t>
      </w:r>
      <w:r w:rsidR="00787D0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pow and sqrt methods from the Math library. </w:t>
      </w:r>
      <w:r w:rsidR="00787D03">
        <w:rPr>
          <w:rFonts w:eastAsiaTheme="minorEastAsia"/>
        </w:rPr>
        <w:t>The elapsed times for each method varied a bit, it would probably have been better to take an average. Presumably the formula should be a constant time.</w:t>
      </w:r>
    </w:p>
    <w:sectPr w:rsidR="00377E0A" w:rsidRPr="00AE40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ED" w:rsidRDefault="00B84BED" w:rsidP="006D0EB4">
      <w:r>
        <w:separator/>
      </w:r>
    </w:p>
  </w:endnote>
  <w:endnote w:type="continuationSeparator" w:id="0">
    <w:p w:rsidR="00B84BED" w:rsidRDefault="00B84BED" w:rsidP="006D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ED" w:rsidRDefault="00B84BED" w:rsidP="006D0EB4">
      <w:r>
        <w:separator/>
      </w:r>
    </w:p>
  </w:footnote>
  <w:footnote w:type="continuationSeparator" w:id="0">
    <w:p w:rsidR="00B84BED" w:rsidRDefault="00B84BED" w:rsidP="006D0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EB4" w:rsidRDefault="006D0EB4" w:rsidP="006D0EB4">
    <w:pPr>
      <w:pStyle w:val="Header"/>
      <w:jc w:val="right"/>
    </w:pPr>
    <w:r>
      <w:t>Bradley White</w:t>
    </w:r>
  </w:p>
  <w:p w:rsidR="006D0EB4" w:rsidRDefault="006D0EB4" w:rsidP="006D0EB4">
    <w:pPr>
      <w:pStyle w:val="Header"/>
      <w:jc w:val="right"/>
    </w:pPr>
    <w:r>
      <w:t>HW #5</w:t>
    </w:r>
  </w:p>
  <w:p w:rsidR="006D0EB4" w:rsidRDefault="006D0EB4" w:rsidP="006D0EB4">
    <w:pPr>
      <w:pStyle w:val="Header"/>
      <w:jc w:val="right"/>
    </w:pPr>
    <w:r>
      <w:t>CSCI 246</w:t>
    </w:r>
  </w:p>
  <w:p w:rsidR="006D0EB4" w:rsidRDefault="006D0EB4" w:rsidP="006D0EB4">
    <w:pPr>
      <w:pStyle w:val="Header"/>
      <w:jc w:val="right"/>
    </w:pPr>
    <w:r>
      <w:t>10-21-2015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4"/>
    <w:rsid w:val="000334B8"/>
    <w:rsid w:val="001244BA"/>
    <w:rsid w:val="001343AB"/>
    <w:rsid w:val="00166CF1"/>
    <w:rsid w:val="001C05EF"/>
    <w:rsid w:val="001D7AB3"/>
    <w:rsid w:val="00211FE2"/>
    <w:rsid w:val="00274C76"/>
    <w:rsid w:val="002D1252"/>
    <w:rsid w:val="002F2431"/>
    <w:rsid w:val="00325D5A"/>
    <w:rsid w:val="0032747A"/>
    <w:rsid w:val="00377E0A"/>
    <w:rsid w:val="00433D29"/>
    <w:rsid w:val="00540060"/>
    <w:rsid w:val="00550430"/>
    <w:rsid w:val="00673855"/>
    <w:rsid w:val="00676A4E"/>
    <w:rsid w:val="006D0EB4"/>
    <w:rsid w:val="0072483C"/>
    <w:rsid w:val="00787D03"/>
    <w:rsid w:val="008E4D34"/>
    <w:rsid w:val="0094712D"/>
    <w:rsid w:val="009B4974"/>
    <w:rsid w:val="00A26BAC"/>
    <w:rsid w:val="00AE359D"/>
    <w:rsid w:val="00AE4072"/>
    <w:rsid w:val="00B831F0"/>
    <w:rsid w:val="00B84BED"/>
    <w:rsid w:val="00BA3269"/>
    <w:rsid w:val="00BA56F0"/>
    <w:rsid w:val="00BC13B7"/>
    <w:rsid w:val="00BD343D"/>
    <w:rsid w:val="00BF297F"/>
    <w:rsid w:val="00CB10A1"/>
    <w:rsid w:val="00D00FB7"/>
    <w:rsid w:val="00D148DB"/>
    <w:rsid w:val="00D32D99"/>
    <w:rsid w:val="00D62A65"/>
    <w:rsid w:val="00D84DAB"/>
    <w:rsid w:val="00DF37AB"/>
    <w:rsid w:val="00EA6A8B"/>
    <w:rsid w:val="00EC061B"/>
    <w:rsid w:val="00EC77AA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4C28-3126-45A2-AD08-A58C104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B4"/>
  </w:style>
  <w:style w:type="paragraph" w:styleId="Footer">
    <w:name w:val="footer"/>
    <w:basedOn w:val="Normal"/>
    <w:link w:val="FooterChar"/>
    <w:uiPriority w:val="99"/>
    <w:unhideWhenUsed/>
    <w:rsid w:val="006D0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B4"/>
  </w:style>
  <w:style w:type="character" w:customStyle="1" w:styleId="mi">
    <w:name w:val="mi"/>
    <w:basedOn w:val="DefaultParagraphFont"/>
    <w:rsid w:val="001244BA"/>
  </w:style>
  <w:style w:type="character" w:customStyle="1" w:styleId="mo">
    <w:name w:val="mo"/>
    <w:basedOn w:val="DefaultParagraphFont"/>
    <w:rsid w:val="001244BA"/>
  </w:style>
  <w:style w:type="character" w:customStyle="1" w:styleId="mn">
    <w:name w:val="mn"/>
    <w:basedOn w:val="DefaultParagraphFont"/>
    <w:rsid w:val="001244BA"/>
  </w:style>
  <w:style w:type="character" w:styleId="PlaceholderText">
    <w:name w:val="Placeholder Text"/>
    <w:basedOn w:val="DefaultParagraphFont"/>
    <w:uiPriority w:val="99"/>
    <w:semiHidden/>
    <w:rsid w:val="00CB10A1"/>
    <w:rPr>
      <w:color w:val="808080"/>
    </w:rPr>
  </w:style>
  <w:style w:type="table" w:styleId="TableGrid">
    <w:name w:val="Table Grid"/>
    <w:basedOn w:val="TableNormal"/>
    <w:uiPriority w:val="39"/>
    <w:rsid w:val="00A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43860691015702"/>
          <c:y val="4.3478260869565216E-2"/>
          <c:w val="0.83872090761086593"/>
          <c:h val="0.7823182699988587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0.42</c:v>
                </c:pt>
                <c:pt idx="2">
                  <c:v>4.9400000000000004</c:v>
                </c:pt>
                <c:pt idx="3">
                  <c:v>492.7</c:v>
                </c:pt>
                <c:pt idx="4">
                  <c:v>59251.73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Inductive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3.2000000000000002E-3</c:v>
                </c:pt>
                <c:pt idx="1">
                  <c:v>4.8999999999999998E-3</c:v>
                </c:pt>
                <c:pt idx="2">
                  <c:v>5.3E-3</c:v>
                </c:pt>
                <c:pt idx="3">
                  <c:v>6.1000000000000004E-3</c:v>
                </c:pt>
                <c:pt idx="4">
                  <c:v>6.4999999999999997E-3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Formula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1.4800000000000001E-2</c:v>
                </c:pt>
                <c:pt idx="1">
                  <c:v>1.89E-2</c:v>
                </c:pt>
                <c:pt idx="2">
                  <c:v>2.29E-2</c:v>
                </c:pt>
                <c:pt idx="3">
                  <c:v>2.5000000000000001E-2</c:v>
                </c:pt>
                <c:pt idx="4">
                  <c:v>2.01E-2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98171248"/>
        <c:axId val="-1563893664"/>
      </c:lineChart>
      <c:catAx>
        <c:axId val="-149817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(input)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3893664"/>
        <c:crossesAt val="1.0000000000000003E-4"/>
        <c:auto val="1"/>
        <c:lblAlgn val="ctr"/>
        <c:lblOffset val="100"/>
        <c:noMultiLvlLbl val="0"/>
      </c:catAx>
      <c:valAx>
        <c:axId val="-1563893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Elapsed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817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2238241026113605E-2"/>
          <c:y val="0.91711913728175287"/>
          <c:w val="0.44570973654301016"/>
          <c:h val="6.1141732283464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1174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25</cp:revision>
  <dcterms:created xsi:type="dcterms:W3CDTF">2015-10-19T20:14:00Z</dcterms:created>
  <dcterms:modified xsi:type="dcterms:W3CDTF">2015-10-21T00:02:00Z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