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Dr. Simmons and Dr. Curtarolo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Paint Killers (S. Drillings, S. DiGabriele, I. Jordan, C. Quintenz, and M. Grimaldi)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10/29/2025</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     Testing Plan for EGR 101 Paintbrush Cleaner </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artist James Keul has requested the development of an automatic oil paint brush cleaner for himself and other artists. While manual cleaners exist, none effectively clean brushes without exposing users to hazardous chemicals. Our prototype will focus on ease of use, capacity (number of brushes cleaned simultaneously), and maintaining brush quality over repeated cycles to minimize bristle damage. Aesthetic design will also be considered to enhance user satisfaction and visual appeal. Performance tests will evaluate cycle duration, cleaning effectiveness, and safety, including reporting and analyzing any injuries. Each test will include three different cycle times to determine optimal performance. Data from this testing phase will guide future improvements to ensure consistent, effective cleaning without final machine and complete protection of users from harmful substances.</w:t>
      </w:r>
    </w:p>
    <w:p w:rsidR="00000000" w:rsidDel="00000000" w:rsidP="00000000" w:rsidRDefault="00000000" w:rsidRPr="00000000" w14:paraId="0000000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Ease of Use:</w:t>
      </w: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rtl w:val="0"/>
        </w:rPr>
        <w:t xml:space="preserve">o test the ease of use of our </w:t>
      </w:r>
      <w:r w:rsidDel="00000000" w:rsidR="00000000" w:rsidRPr="00000000">
        <w:rPr>
          <w:rFonts w:ascii="Times New Roman" w:cs="Times New Roman" w:eastAsia="Times New Roman" w:hAnsi="Times New Roman"/>
          <w:sz w:val="24"/>
          <w:szCs w:val="24"/>
          <w:rtl w:val="0"/>
        </w:rPr>
        <w:t xml:space="preserve">machine</w:t>
      </w:r>
      <w:r w:rsidDel="00000000" w:rsidR="00000000" w:rsidRPr="00000000">
        <w:rPr>
          <w:rFonts w:ascii="Times New Roman" w:cs="Times New Roman" w:eastAsia="Times New Roman" w:hAnsi="Times New Roman"/>
          <w:sz w:val="24"/>
          <w:szCs w:val="24"/>
          <w:rtl w:val="0"/>
        </w:rPr>
        <w:t xml:space="preserve">, we will test how long it takes for people to set it up and start it. We will do this by </w:t>
      </w:r>
      <w:r w:rsidDel="00000000" w:rsidR="00000000" w:rsidRPr="00000000">
        <w:rPr>
          <w:rFonts w:ascii="Times New Roman" w:cs="Times New Roman" w:eastAsia="Times New Roman" w:hAnsi="Times New Roman"/>
          <w:sz w:val="24"/>
          <w:szCs w:val="24"/>
          <w:rtl w:val="0"/>
        </w:rPr>
        <w:t xml:space="preserve">timing our peers from when we explai</w:t>
      </w:r>
      <w:r w:rsidDel="00000000" w:rsidR="00000000" w:rsidRPr="00000000">
        <w:rPr>
          <w:rFonts w:ascii="Times New Roman" w:cs="Times New Roman" w:eastAsia="Times New Roman" w:hAnsi="Times New Roman"/>
          <w:sz w:val="24"/>
          <w:szCs w:val="24"/>
          <w:rtl w:val="0"/>
        </w:rPr>
        <w:t xml:space="preserve">n the task and give them the manual we have created to when they get the machine running (properly). The goal is for the average setup time to be under five minutes. If not, then the prototype is a failure in the ease of use category. Afterward, we will ask participants to fill out a survey and rate how easy it was to set up and use the machine on a scale from 1 to 10, 1 being extremely easy and 5 being impossible (see Appendix Table 1). Our goal is to test 15 of our peers to gather a significant amount of data. When we meet with James, our client, we will ask him to perform the same test and fill out the same survey. We will also ask him for additional feedback on the ease of use of the machine.</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Aesthetic test:</w:t>
      </w:r>
      <w:r w:rsidDel="00000000" w:rsidR="00000000" w:rsidRPr="00000000">
        <w:rPr>
          <w:rFonts w:ascii="Times New Roman" w:cs="Times New Roman" w:eastAsia="Times New Roman" w:hAnsi="Times New Roman"/>
          <w:sz w:val="24"/>
          <w:szCs w:val="24"/>
          <w:rtl w:val="0"/>
        </w:rPr>
        <w:t xml:space="preserve"> Aesthetics is an important factor in our design because our cleaner will sit on James’ kitchen counter. To evaluate how aesthetically pleasing our machine is, we will employ a class-wide survey and send it to James as well. Our survey will be divided into multiple sections that will be rated on a scale from 1-5. The first criterion will ask readers from 1 to 5 how aesthetically pleasing the color is (see Appendix Table 2). If rated poorly, we will ask them to expand upon what color they think would be nicer. The next section will ask readers to rate the size of our machine (see Appendix Table 3). Based on that, we will get an idea of whether, from an outside point of view, our mechanism seems too big or bulky. Lastly, we will ask about the shape (see Appendix Table 4). As of right now, our machine is very top-heavy and has compartments that stick out. We want to know from a potential user’s point of view whether that shape is unappealing or a feature we can keep. After surveying and evaluating the opinions of our client and peers, we can synthesize whether our mechanism is aesthetic or if we need to change it. An advantage of this form of testing is that we get information directly from the user or potential users and can get their input on what they would prefer to see.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No visible damage to brushes: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test if our machine causes any visible damage to the bristles, we will perform cleaning cycles using the same type of paintbrushes (dimensions, material, and condition) and observe the outcome. Each brush will be cleaned through fifteen cycles, with a thorough visual inspection after every five cycles in consistent lighting. The brushes will be rated on a scale from 1 to 5, where 1 indicates no visible damage, and 5 indicates severe and unusable bristle damage (</w:t>
      </w:r>
      <w:r w:rsidDel="00000000" w:rsidR="00000000" w:rsidRPr="00000000">
        <w:rPr>
          <w:rFonts w:ascii="Times New Roman" w:cs="Times New Roman" w:eastAsia="Times New Roman" w:hAnsi="Times New Roman"/>
          <w:sz w:val="24"/>
          <w:szCs w:val="24"/>
          <w:rtl w:val="0"/>
        </w:rPr>
        <w:t xml:space="preserve">see</w:t>
      </w:r>
      <w:r w:rsidDel="00000000" w:rsidR="00000000" w:rsidRPr="00000000">
        <w:rPr>
          <w:rFonts w:ascii="Times New Roman" w:cs="Times New Roman" w:eastAsia="Times New Roman" w:hAnsi="Times New Roman"/>
          <w:sz w:val="24"/>
          <w:szCs w:val="24"/>
          <w:rtl w:val="0"/>
        </w:rPr>
        <w:t xml:space="preserve"> Appendix Table 5). We will be looking for factors such as fraying, bending, stiffness, or missing/loose bristles in order to form our rating. The reason for the tests to be repeated three times is to ensure reliable results. Our client will be involved in the evaluation process to verify our ratings and whether the wear is at an acceptable level, and the brush performance is still optimal. This test is necessary to help verify if the design meets the “no visible damage to brushes” criterion we set ourselves earlier in the planning process.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Capacity of the machine:</w:t>
      </w:r>
      <w:r w:rsidDel="00000000" w:rsidR="00000000" w:rsidRPr="00000000">
        <w:rPr>
          <w:rFonts w:ascii="Times New Roman" w:cs="Times New Roman" w:eastAsia="Times New Roman" w:hAnsi="Times New Roman"/>
          <w:sz w:val="24"/>
          <w:szCs w:val="24"/>
          <w:rtl w:val="0"/>
        </w:rPr>
        <w:t xml:space="preserve"> To test the paintbrush capacity of the machine, we incrementally determine the maximum capacity of paintbrushes that the machine can handle adequately. To do this, we’ll run the machine for five minutes with liquid. The trials will begin with five paintbrushes and increment by one for each trial until 10 is reached. This will determine if friction and water resistance create too much force opposing the motors and hinder the functionality of the device; if so, the maximum number of paintbrushes that can be used in the machine at once will be determined through the trials. We will determine if the functionality of the device has deteriorated if the speed at which the gear rotates slows down or doesn’t rotate in a linear motion. This deterioration will be ranked by viewers of the trials on a scale from 1-5 (see Appendix Table 6).</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planned testing procedures will provide a comprehensive assessment of our automatic paintbrush cleaner prototype in relation to our key design criteria. By timing setup and gathering user feedback, we will determine whether the machine is intuitive and user-friendly. The aesthetic survey will allow us to incorporate client and peer preferences into the final design, ensuring that the cleaner not only functions effectively but also fits its intended environment. Repeated cleaning cycle tests will confirm whether the mechanism preserves brush quality over time, while the capacity trials will identify the optimal number of brushes that can be cleaned simultaneously without compromising performance. Collectively, these tests will yield the necessary data to refine our prototype, address weaknesses, and ensure the next iteration efficiently cleans brushes, maintains safety, and meets user expectations both functionally and visually.</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Table 1 - User-Defined Scale of Ease of Use </w:t>
      </w:r>
    </w:p>
    <w:tbl>
      <w:tblPr>
        <w:tblStyle w:val="Table1"/>
        <w:tblW w:w="5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4035"/>
        <w:tblGridChange w:id="0">
          <w:tblGrid>
            <w:gridCol w:w="1455"/>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Scale of Ease of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Easy to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Easy nor Difficult to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 to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Impossible to Use</w:t>
            </w:r>
          </w:p>
        </w:tc>
      </w:tr>
    </w:tbl>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Table 2 - User-Defined Scale of Color</w:t>
      </w:r>
    </w:p>
    <w:tbl>
      <w:tblPr>
        <w:tblStyle w:val="Table2"/>
        <w:tblW w:w="5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185"/>
        <w:tblGridChange w:id="0">
          <w:tblGrid>
            <w:gridCol w:w="1665"/>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Scale of Deterioration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Non-aesthetic color &amp; needs to be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Non-ideal color &amp; should be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 color &amp; could be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Nice color &amp; can keep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Beautiful color &amp; needs to keep</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Table 3 - User-Defined Scale of Size</w:t>
      </w:r>
    </w:p>
    <w:tbl>
      <w:tblPr>
        <w:tblStyle w:val="Table3"/>
        <w:tblW w:w="5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185"/>
        <w:tblGridChange w:id="0">
          <w:tblGrid>
            <w:gridCol w:w="1665"/>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Scale of Deterioration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 too big &amp; needs to be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Considerably big &amp; should be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 size &amp; could be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Decent size &amp; can keep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size &amp; should keep</w:t>
            </w:r>
          </w:p>
        </w:tc>
      </w:tr>
    </w:tbl>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Table 4 - User-Defined Scale of Shape</w:t>
      </w:r>
    </w:p>
    <w:tbl>
      <w:tblPr>
        <w:tblStyle w:val="Table4"/>
        <w:tblW w:w="6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635"/>
        <w:tblGridChange w:id="0">
          <w:tblGrid>
            <w:gridCol w:w="166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Scale of Deterioration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awkward shape &amp; needs to be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Weird shape &amp; should be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 shape &amp; could be 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Nice shape &amp; can keep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cool shape &amp; needs to keep</w:t>
            </w:r>
          </w:p>
        </w:tc>
      </w:tr>
    </w:tbl>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Table 5 - User-Defined Scale of Brush Damage</w:t>
      </w:r>
    </w:p>
    <w:tbl>
      <w:tblPr>
        <w:tblStyle w:val="Table5"/>
        <w:tblW w:w="6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5250"/>
        <w:tblGridChange w:id="0">
          <w:tblGrid>
            <w:gridCol w:w="1635"/>
            <w:gridCol w:w="5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Scale of Brush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visible damage, bristles fully intact &amp; flexible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 deformation and wear &amp; still functional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fraying &amp; some stiffness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paint performance &amp; noticeable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damage &amp; brush is now unusable</w:t>
            </w:r>
          </w:p>
        </w:tc>
      </w:tr>
    </w:tbl>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Appendix Table 6 - User-Defined Scale of Capacity</w:t>
      </w:r>
    </w:p>
    <w:tbl>
      <w:tblPr>
        <w:tblStyle w:val="Table6"/>
        <w:tblW w:w="5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765"/>
        <w:tblGridChange w:id="0">
          <w:tblGrid>
            <w:gridCol w:w="1665"/>
            <w:gridCol w:w="3765"/>
          </w:tblGrid>
        </w:tblGridChange>
      </w:tblGrid>
      <w:tr>
        <w:trPr>
          <w:cantSplit w:val="0"/>
          <w:tblHeader w:val="0"/>
        </w:trPr>
        <w:tc>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Ranking</w:t>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Scale of Deterioration</w:t>
            </w:r>
          </w:p>
        </w:tc>
      </w:tr>
      <w:tr>
        <w:trPr>
          <w:cantSplit w:val="0"/>
          <w:tblHeader w:val="0"/>
        </w:trPr>
        <w:tc>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change in speed</w:t>
            </w:r>
          </w:p>
        </w:tc>
      </w:tr>
      <w:tr>
        <w:trPr>
          <w:cantSplit w:val="0"/>
          <w:tblHeader w:val="0"/>
        </w:trPr>
        <w:tc>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 change in speed and motion</w:t>
            </w:r>
          </w:p>
        </w:tc>
      </w:tr>
      <w:tr>
        <w:trPr>
          <w:cantSplit w:val="0"/>
          <w:tblHeader w:val="0"/>
        </w:trPr>
        <w:tc>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change in speed and motion</w:t>
            </w:r>
          </w:p>
        </w:tc>
      </w:tr>
      <w:tr>
        <w:trPr>
          <w:cantSplit w:val="0"/>
          <w:tblHeader w:val="0"/>
        </w:trPr>
        <w:tc>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Gear has difficulty moving</w:t>
            </w:r>
          </w:p>
        </w:tc>
      </w:tr>
      <w:tr>
        <w:trPr>
          <w:cantSplit w:val="0"/>
          <w:tblHeader w:val="0"/>
        </w:trPr>
        <w:tc>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Gear stops or nearly stops spinning</w:t>
            </w:r>
          </w:p>
        </w:tc>
      </w:tr>
    </w:tbl>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