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433F97"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E35C93"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433F97"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864F9"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" fillcolor="#f1efe6 [2579]" stroked="f" strokeweight="2pt">
                    <v:fill color2="#575131 [963]" rotate="t" focusposition=".5,.5" focussize="" focus="100%" type="gradientRadial"/>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433F97"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1F514"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433F97"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9BA622"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433F97"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11424905" w:history="1">
            <w:r w:rsidR="00433F97" w:rsidRPr="00924B27">
              <w:rPr>
                <w:rStyle w:val="Hyperlink"/>
                <w:rtl/>
              </w:rPr>
              <w:t>1</w:t>
            </w:r>
            <w:r w:rsidR="00433F97">
              <w:rPr>
                <w:rFonts w:asciiTheme="minorHAnsi" w:hAnsiTheme="minorHAnsi" w:cstheme="minorBidi"/>
                <w:bCs w:val="0"/>
                <w:i w:val="0"/>
                <w:noProof/>
                <w:sz w:val="22"/>
                <w:szCs w:val="22"/>
                <w:rtl/>
              </w:rPr>
              <w:tab/>
            </w:r>
            <w:r w:rsidR="00433F97" w:rsidRPr="00924B27">
              <w:rPr>
                <w:rStyle w:val="Hyperlink"/>
                <w:rtl/>
              </w:rPr>
              <w:t>הגדרות</w:t>
            </w:r>
            <w:r w:rsidR="00433F97">
              <w:rPr>
                <w:noProof/>
                <w:webHidden/>
                <w:rtl/>
              </w:rPr>
              <w:tab/>
            </w:r>
            <w:r w:rsidR="00433F97">
              <w:rPr>
                <w:noProof/>
                <w:webHidden/>
                <w:rtl/>
              </w:rPr>
              <w:fldChar w:fldCharType="begin"/>
            </w:r>
            <w:r w:rsidR="00433F97">
              <w:rPr>
                <w:noProof/>
                <w:webHidden/>
                <w:rtl/>
              </w:rPr>
              <w:instrText xml:space="preserve"> </w:instrText>
            </w:r>
            <w:r w:rsidR="00433F97">
              <w:rPr>
                <w:noProof/>
                <w:webHidden/>
              </w:rPr>
              <w:instrText>PAGEREF</w:instrText>
            </w:r>
            <w:r w:rsidR="00433F97">
              <w:rPr>
                <w:noProof/>
                <w:webHidden/>
                <w:rtl/>
              </w:rPr>
              <w:instrText xml:space="preserve"> _</w:instrText>
            </w:r>
            <w:r w:rsidR="00433F97">
              <w:rPr>
                <w:noProof/>
                <w:webHidden/>
              </w:rPr>
              <w:instrText>Toc11424905 \h</w:instrText>
            </w:r>
            <w:r w:rsidR="00433F97">
              <w:rPr>
                <w:noProof/>
                <w:webHidden/>
                <w:rtl/>
              </w:rPr>
              <w:instrText xml:space="preserve"> </w:instrText>
            </w:r>
            <w:r w:rsidR="00433F97">
              <w:rPr>
                <w:noProof/>
                <w:webHidden/>
                <w:rtl/>
              </w:rPr>
            </w:r>
            <w:r w:rsidR="00433F97">
              <w:rPr>
                <w:noProof/>
                <w:webHidden/>
                <w:rtl/>
              </w:rPr>
              <w:fldChar w:fldCharType="separate"/>
            </w:r>
            <w:r w:rsidR="00433F97">
              <w:rPr>
                <w:noProof/>
                <w:webHidden/>
                <w:rtl/>
              </w:rPr>
              <w:t>2</w:t>
            </w:r>
            <w:r w:rsidR="00433F97">
              <w:rPr>
                <w:noProof/>
                <w:webHidden/>
                <w:rtl/>
              </w:rPr>
              <w:fldChar w:fldCharType="end"/>
            </w:r>
          </w:hyperlink>
        </w:p>
        <w:p w:rsidR="00433F97" w:rsidRDefault="00433F97">
          <w:pPr>
            <w:pStyle w:val="TOC1"/>
            <w:rPr>
              <w:rFonts w:asciiTheme="minorHAnsi" w:hAnsiTheme="minorHAnsi" w:cstheme="minorBidi"/>
              <w:bCs w:val="0"/>
              <w:i w:val="0"/>
              <w:noProof/>
              <w:sz w:val="22"/>
              <w:szCs w:val="22"/>
              <w:rtl/>
            </w:rPr>
          </w:pPr>
          <w:hyperlink w:anchor="_Toc11424906" w:history="1">
            <w:r w:rsidRPr="00924B27">
              <w:rPr>
                <w:rStyle w:val="Hyperlink"/>
                <w:rtl/>
              </w:rPr>
              <w:t>2</w:t>
            </w:r>
            <w:r>
              <w:rPr>
                <w:rFonts w:asciiTheme="minorHAnsi" w:hAnsiTheme="minorHAnsi" w:cstheme="minorBidi"/>
                <w:bCs w:val="0"/>
                <w:i w:val="0"/>
                <w:noProof/>
                <w:sz w:val="22"/>
                <w:szCs w:val="22"/>
                <w:rtl/>
              </w:rPr>
              <w:tab/>
            </w:r>
            <w:r w:rsidRPr="00924B27">
              <w:rPr>
                <w:rStyle w:val="Hyperlink"/>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Toc11424906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433F97" w:rsidRDefault="00433F97">
          <w:pPr>
            <w:pStyle w:val="TOC1"/>
            <w:rPr>
              <w:rFonts w:asciiTheme="minorHAnsi" w:hAnsiTheme="minorHAnsi" w:cstheme="minorBidi"/>
              <w:bCs w:val="0"/>
              <w:i w:val="0"/>
              <w:noProof/>
              <w:sz w:val="22"/>
              <w:szCs w:val="22"/>
              <w:rtl/>
            </w:rPr>
          </w:pPr>
          <w:hyperlink w:anchor="_Toc11424907" w:history="1">
            <w:r w:rsidRPr="00924B27">
              <w:rPr>
                <w:rStyle w:val="Hyperlink"/>
                <w:rtl/>
              </w:rPr>
              <w:t>3</w:t>
            </w:r>
            <w:r>
              <w:rPr>
                <w:rFonts w:asciiTheme="minorHAnsi" w:hAnsiTheme="minorHAnsi" w:cstheme="minorBidi"/>
                <w:bCs w:val="0"/>
                <w:i w:val="0"/>
                <w:noProof/>
                <w:sz w:val="22"/>
                <w:szCs w:val="22"/>
                <w:rtl/>
              </w:rPr>
              <w:tab/>
            </w:r>
            <w:r w:rsidRPr="00924B27">
              <w:rPr>
                <w:rStyle w:val="Hyperlink"/>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Toc11424907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433F97" w:rsidRDefault="00433F97">
          <w:pPr>
            <w:pStyle w:val="TOC1"/>
            <w:rPr>
              <w:rFonts w:asciiTheme="minorHAnsi" w:hAnsiTheme="minorHAnsi" w:cstheme="minorBidi"/>
              <w:bCs w:val="0"/>
              <w:i w:val="0"/>
              <w:noProof/>
              <w:sz w:val="22"/>
              <w:szCs w:val="22"/>
              <w:rtl/>
            </w:rPr>
          </w:pPr>
          <w:hyperlink w:anchor="_Toc11424908" w:history="1">
            <w:r w:rsidRPr="00924B27">
              <w:rPr>
                <w:rStyle w:val="Hyperlink"/>
                <w:rtl/>
              </w:rPr>
              <w:t>4</w:t>
            </w:r>
            <w:r>
              <w:rPr>
                <w:rFonts w:asciiTheme="minorHAnsi" w:hAnsiTheme="minorHAnsi" w:cstheme="minorBidi"/>
                <w:bCs w:val="0"/>
                <w:i w:val="0"/>
                <w:noProof/>
                <w:sz w:val="22"/>
                <w:szCs w:val="22"/>
                <w:rtl/>
              </w:rPr>
              <w:tab/>
            </w:r>
            <w:r w:rsidRPr="00924B27">
              <w:rPr>
                <w:rStyle w:val="Hyperlink"/>
                <w:rtl/>
              </w:rPr>
              <w:t>תנאים ל-</w:t>
            </w:r>
            <w:r w:rsidRPr="00924B27">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Toc11424908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433F97" w:rsidRDefault="00433F97">
          <w:pPr>
            <w:pStyle w:val="TOC1"/>
            <w:rPr>
              <w:rFonts w:asciiTheme="minorHAnsi" w:hAnsiTheme="minorHAnsi" w:cstheme="minorBidi"/>
              <w:bCs w:val="0"/>
              <w:i w:val="0"/>
              <w:noProof/>
              <w:sz w:val="22"/>
              <w:szCs w:val="22"/>
              <w:rtl/>
            </w:rPr>
          </w:pPr>
          <w:hyperlink w:anchor="_Toc11424909" w:history="1">
            <w:r w:rsidRPr="00924B27">
              <w:rPr>
                <w:rStyle w:val="Hyperlink"/>
                <w:rtl/>
              </w:rPr>
              <w:t>5</w:t>
            </w:r>
            <w:r>
              <w:rPr>
                <w:rFonts w:asciiTheme="minorHAnsi" w:hAnsiTheme="minorHAnsi" w:cstheme="minorBidi"/>
                <w:bCs w:val="0"/>
                <w:i w:val="0"/>
                <w:noProof/>
                <w:sz w:val="22"/>
                <w:szCs w:val="22"/>
                <w:rtl/>
              </w:rPr>
              <w:tab/>
            </w:r>
            <w:r w:rsidRPr="00924B27">
              <w:rPr>
                <w:rStyle w:val="Hyperlink"/>
                <w:rtl/>
              </w:rPr>
              <w:t xml:space="preserve">אלגוריתם </w:t>
            </w:r>
            <w:r w:rsidRPr="00924B27">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Toc11424909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433F97" w:rsidRDefault="00433F97">
          <w:pPr>
            <w:pStyle w:val="TOC2"/>
            <w:rPr>
              <w:rFonts w:asciiTheme="minorHAnsi" w:hAnsiTheme="minorHAnsi" w:cstheme="minorBidi"/>
              <w:b w:val="0"/>
              <w:i w:val="0"/>
              <w:sz w:val="22"/>
              <w:szCs w:val="22"/>
              <w:rtl/>
            </w:rPr>
          </w:pPr>
          <w:hyperlink w:anchor="_Toc11424910" w:history="1">
            <w:r w:rsidRPr="00924B27">
              <w:rPr>
                <w:rStyle w:val="Hyperlink"/>
                <w:rFonts w:cs="David"/>
                <w:rtl/>
              </w:rPr>
              <w:t>5.1</w:t>
            </w:r>
            <w:r>
              <w:rPr>
                <w:rFonts w:asciiTheme="minorHAnsi" w:hAnsiTheme="minorHAnsi" w:cstheme="minorBidi"/>
                <w:b w:val="0"/>
                <w:i w:val="0"/>
                <w:sz w:val="22"/>
                <w:szCs w:val="22"/>
                <w:rtl/>
              </w:rPr>
              <w:tab/>
            </w:r>
            <w:r w:rsidRPr="00924B27">
              <w:rPr>
                <w:rStyle w:val="Hyperlink"/>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Toc11424910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433F97" w:rsidRDefault="00433F97">
          <w:pPr>
            <w:pStyle w:val="TOC2"/>
            <w:tabs>
              <w:tab w:val="left" w:pos="1760"/>
            </w:tabs>
            <w:rPr>
              <w:rFonts w:asciiTheme="minorHAnsi" w:hAnsiTheme="minorHAnsi" w:cstheme="minorBidi"/>
              <w:b w:val="0"/>
              <w:i w:val="0"/>
              <w:sz w:val="22"/>
              <w:szCs w:val="22"/>
              <w:rtl/>
            </w:rPr>
          </w:pPr>
          <w:hyperlink w:anchor="_Toc11424911" w:history="1">
            <w:r w:rsidRPr="00924B27">
              <w:rPr>
                <w:rStyle w:val="Hyperlink"/>
                <w:rFonts w:cs="David"/>
              </w:rPr>
              <w:t>5.2</w:t>
            </w:r>
            <w:r>
              <w:rPr>
                <w:rFonts w:asciiTheme="minorHAnsi" w:hAnsiTheme="minorHAnsi" w:cstheme="minorBidi"/>
                <w:b w:val="0"/>
                <w:i w:val="0"/>
                <w:sz w:val="22"/>
                <w:szCs w:val="22"/>
                <w:rtl/>
              </w:rPr>
              <w:tab/>
            </w:r>
            <w:r w:rsidRPr="00924B27">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Toc11424911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433F97" w:rsidRDefault="00433F97">
          <w:pPr>
            <w:pStyle w:val="TOC2"/>
            <w:rPr>
              <w:rFonts w:asciiTheme="minorHAnsi" w:hAnsiTheme="minorHAnsi" w:cstheme="minorBidi"/>
              <w:b w:val="0"/>
              <w:i w:val="0"/>
              <w:sz w:val="22"/>
              <w:szCs w:val="22"/>
              <w:rtl/>
            </w:rPr>
          </w:pPr>
          <w:hyperlink w:anchor="_Toc11424912" w:history="1">
            <w:r w:rsidRPr="00924B27">
              <w:rPr>
                <w:rStyle w:val="Hyperlink"/>
                <w:rFonts w:cs="David"/>
                <w:rtl/>
              </w:rPr>
              <w:t>5.3</w:t>
            </w:r>
            <w:r>
              <w:rPr>
                <w:rFonts w:asciiTheme="minorHAnsi" w:hAnsiTheme="minorHAnsi" w:cstheme="minorBidi"/>
                <w:b w:val="0"/>
                <w:i w:val="0"/>
                <w:sz w:val="22"/>
                <w:szCs w:val="22"/>
                <w:rtl/>
              </w:rPr>
              <w:tab/>
            </w:r>
            <w:r w:rsidRPr="00924B27">
              <w:rPr>
                <w:rStyle w:val="Hyperlink"/>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Toc11424912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11424905"/>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11424906"/>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11424907"/>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11424908"/>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11424909"/>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11424910"/>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11424911"/>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A55860">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A55860">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A55860">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single" w:sz="8" w:space="0" w:color="1F497D" w:themeColor="text2"/>
              <w:bottom w:val="single" w:sz="18" w:space="0" w:color="1F497D" w:themeColor="text2"/>
            </w:tcBorders>
          </w:tcPr>
          <w:p w:rsidR="00F11F97" w:rsidRDefault="00F11F97" w:rsidP="0008204E">
            <w:pPr>
              <w:bidi w:val="0"/>
            </w:pPr>
          </w:p>
        </w:tc>
        <w:tc>
          <w:tcPr>
            <w:tcW w:w="386" w:type="dxa"/>
            <w:tcBorders>
              <w:top w:val="single" w:sz="8" w:space="0" w:color="1F497D" w:themeColor="text2"/>
              <w:bottom w:val="single" w:sz="18" w:space="0" w:color="1F497D" w:themeColor="text2"/>
            </w:tcBorders>
          </w:tcPr>
          <w:p w:rsidR="00F11F97" w:rsidRDefault="00F11F97" w:rsidP="0008204E">
            <w:pPr>
              <w:bidi w:val="0"/>
            </w:pPr>
          </w:p>
        </w:tc>
        <w:tc>
          <w:tcPr>
            <w:tcW w:w="384" w:type="dxa"/>
            <w:tcBorders>
              <w:top w:val="single" w:sz="8" w:space="0" w:color="1F497D" w:themeColor="text2"/>
              <w:bottom w:val="single" w:sz="18" w:space="0" w:color="1F497D" w:themeColor="text2"/>
            </w:tcBorders>
          </w:tcPr>
          <w:p w:rsidR="00F11F97" w:rsidRDefault="00F11F97" w:rsidP="0008204E">
            <w:pPr>
              <w:bidi w:val="0"/>
            </w:pPr>
          </w:p>
        </w:tc>
        <w:tc>
          <w:tcPr>
            <w:tcW w:w="383" w:type="dxa"/>
            <w:tcBorders>
              <w:top w:val="single" w:sz="8" w:space="0" w:color="1F497D" w:themeColor="text2"/>
              <w:bottom w:val="single" w:sz="18" w:space="0" w:color="1F497D" w:themeColor="text2"/>
            </w:tcBorders>
          </w:tcPr>
          <w:p w:rsidR="00F11F97" w:rsidRDefault="00F11F97" w:rsidP="0008204E">
            <w:pPr>
              <w:bidi w:val="0"/>
            </w:pPr>
          </w:p>
        </w:tc>
        <w:tc>
          <w:tcPr>
            <w:tcW w:w="466" w:type="dxa"/>
            <w:gridSpan w:val="2"/>
            <w:tcBorders>
              <w:top w:val="single" w:sz="8" w:space="0" w:color="1F497D" w:themeColor="text2"/>
              <w:bottom w:val="single" w:sz="18" w:space="0" w:color="1F497D" w:themeColor="text2"/>
            </w:tcBorders>
          </w:tcPr>
          <w:p w:rsidR="00F11F97" w:rsidRDefault="00F11F97" w:rsidP="0008204E">
            <w:pPr>
              <w:bidi w:val="0"/>
            </w:pPr>
          </w:p>
        </w:tc>
        <w:tc>
          <w:tcPr>
            <w:tcW w:w="399" w:type="dxa"/>
            <w:tcBorders>
              <w:top w:val="single" w:sz="8" w:space="0" w:color="1F497D" w:themeColor="text2"/>
              <w:bottom w:val="single" w:sz="18" w:space="0" w:color="1F497D" w:themeColor="text2"/>
            </w:tcBorders>
          </w:tcPr>
          <w:p w:rsidR="00F11F97" w:rsidRDefault="00F11F97" w:rsidP="0008204E">
            <w:pPr>
              <w:bidi w:val="0"/>
            </w:pPr>
          </w:p>
        </w:tc>
        <w:tc>
          <w:tcPr>
            <w:tcW w:w="441"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11424912"/>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8" o:title=""/>
          </v:shape>
          <o:OLEObject Type="Embed" ProgID="PowerPoint.Show.12" ShapeID="_x0000_i1025" DrawAspect="Content" ObjectID="_1622037650" r:id="rId9"/>
        </w:object>
      </w:r>
    </w:p>
    <w:sectPr w:rsidR="001873F5" w:rsidSect="00B4281D">
      <w:headerReference w:type="default" r:id="rId10"/>
      <w:footerReference w:type="default" r:id="rId11"/>
      <w:headerReference w:type="firs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0F" w:rsidRDefault="00433F97"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94AD6B"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284"/>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33F97"/>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55860"/>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504D82DB-3189-4560-A6EB-38249F13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AC916-D1DA-42CC-A3ED-D4E9B691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2</Pages>
  <Words>818</Words>
  <Characters>4090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48</cp:revision>
  <cp:lastPrinted>2018-01-24T08:42:00Z</cp:lastPrinted>
  <dcterms:created xsi:type="dcterms:W3CDTF">2017-03-21T13:06:00Z</dcterms:created>
  <dcterms:modified xsi:type="dcterms:W3CDTF">2019-06-14T14:14:00Z</dcterms:modified>
</cp:coreProperties>
</file>