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E63D4"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Power laws are powerful measures of concentration for reasons that become precise when you look at the mathematics.</w:t>
      </w:r>
    </w:p>
    <w:p w14:paraId="6358884A"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The Pareto distribution as the canonical form</w:t>
      </w:r>
    </w:p>
    <w:p w14:paraId="56717BA3"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A random variable X follows a power law if its complementary CDF (survival function) takes the form:</w:t>
      </w:r>
    </w:p>
    <w:p w14:paraId="5AA1069D"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P(X &gt; x) = (x/x_min)^(−α)</w:t>
      </w:r>
    </w:p>
    <w:p w14:paraId="6E878C2D"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exponent α governs everything. For the Pareto distribution, the k-th moment E[X^k] only exists when k &lt; α − 1. This means:</w:t>
      </w:r>
    </w:p>
    <w:p w14:paraId="61197DB3" w14:textId="77777777" w:rsidR="0003154B" w:rsidRPr="0003154B" w:rsidRDefault="0003154B" w:rsidP="000315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 1: mean is infinite</w:t>
      </w:r>
    </w:p>
    <w:p w14:paraId="29F836B0" w14:textId="77777777" w:rsidR="0003154B" w:rsidRPr="0003154B" w:rsidRDefault="0003154B" w:rsidP="000315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 2: variance is infinite</w:t>
      </w:r>
    </w:p>
    <w:p w14:paraId="3256BEAD" w14:textId="77777777" w:rsidR="0003154B" w:rsidRPr="0003154B" w:rsidRDefault="0003154B" w:rsidP="0003154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 3: skewness is infinite</w:t>
      </w:r>
    </w:p>
    <w:p w14:paraId="44DDCA4A"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When moments don't exist, standard concentration measures like variance or Gini computed from sample means are </w:t>
      </w:r>
      <w:r w:rsidRPr="0003154B">
        <w:rPr>
          <w:rFonts w:ascii="Times New Roman" w:eastAsia="Times New Roman" w:hAnsi="Times New Roman" w:cs="Times New Roman"/>
          <w:i/>
          <w:iCs/>
          <w:kern w:val="0"/>
          <w14:ligatures w14:val="none"/>
        </w:rPr>
        <w:t>not</w:t>
      </w:r>
      <w:r w:rsidRPr="0003154B">
        <w:rPr>
          <w:rFonts w:ascii="Times New Roman" w:eastAsia="Times New Roman" w:hAnsi="Times New Roman" w:cs="Times New Roman"/>
          <w:kern w:val="0"/>
          <w14:ligatures w14:val="none"/>
        </w:rPr>
        <w:t xml:space="preserve"> consistent estimators — they diverge with sample size rather than converging. Power laws force you to think about concentration differently.</w:t>
      </w:r>
    </w:p>
    <w:p w14:paraId="0BA651C0"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The Hill estimator and tail index</w:t>
      </w:r>
    </w:p>
    <w:p w14:paraId="069AF690"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natural estimator for α from the tail is the Hill estimator:</w:t>
      </w:r>
    </w:p>
    <w:p w14:paraId="01F1B48E"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 [1/k · Σᵢ₌₁ᵏ log(X₍ₙ₋ᵢ₊₁₎ / X₍ₙ₋ₖ₎)]⁻¹</w:t>
      </w:r>
    </w:p>
    <w:p w14:paraId="30A84E94"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where X₍ᵢ₎ are order statistics. This is a maximum likelihood estimator for the tail index, and it converges at rate √k. The choice of threshold k is a bias-variance tradeoff — this is the core difficulty in empirical power law work.</w:t>
      </w:r>
    </w:p>
    <w:p w14:paraId="43DB56F0"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Why α directly encodes concentration</w:t>
      </w:r>
    </w:p>
    <w:p w14:paraId="50A3177E"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fraction of total "mass" held by the top p fraction of the population is:</w:t>
      </w:r>
    </w:p>
    <w:p w14:paraId="1BC9229B"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S(p) = p^(1 − 1/(α−1)) [for α &gt; 2]</w:t>
      </w:r>
    </w:p>
    <w:p w14:paraId="0E414205"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This is the Lorenz curve for a Pareto distribution. The Gini coefficient has a closed form:</w:t>
      </w:r>
    </w:p>
    <w:p w14:paraId="788E65A5"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G = 1/(2α − 3) [for α &gt; 3/2]</w:t>
      </w:r>
    </w:p>
    <w:p w14:paraId="09DE751D"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So α and G are in direct correspondence. But crucially, for α ≤ 3/2 the Gini coefficient is undefined (equals 1 in the limit), while the power law exponent remains a finite, well-defined measure. This is precisely why α is a </w:t>
      </w:r>
      <w:r w:rsidRPr="0003154B">
        <w:rPr>
          <w:rFonts w:ascii="Times New Roman" w:eastAsia="Times New Roman" w:hAnsi="Times New Roman" w:cs="Times New Roman"/>
          <w:i/>
          <w:iCs/>
          <w:kern w:val="0"/>
          <w14:ligatures w14:val="none"/>
        </w:rPr>
        <w:t>more powerful</w:t>
      </w:r>
      <w:r w:rsidRPr="0003154B">
        <w:rPr>
          <w:rFonts w:ascii="Times New Roman" w:eastAsia="Times New Roman" w:hAnsi="Times New Roman" w:cs="Times New Roman"/>
          <w:kern w:val="0"/>
          <w14:ligatures w14:val="none"/>
        </w:rPr>
        <w:t xml:space="preserve"> concentration measure than Gini in heavy-tailed regimes — it doesn't bottom out.</w:t>
      </w:r>
    </w:p>
    <w:p w14:paraId="363F8AEA"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lastRenderedPageBreak/>
        <w:t>Regular variation and the generalization</w:t>
      </w:r>
    </w:p>
    <w:p w14:paraId="3EC10162"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The deeper reason power laws are canonical is that they are the </w:t>
      </w:r>
      <w:r w:rsidRPr="0003154B">
        <w:rPr>
          <w:rFonts w:ascii="Times New Roman" w:eastAsia="Times New Roman" w:hAnsi="Times New Roman" w:cs="Times New Roman"/>
          <w:i/>
          <w:iCs/>
          <w:kern w:val="0"/>
          <w14:ligatures w14:val="none"/>
        </w:rPr>
        <w:t>only</w:t>
      </w:r>
      <w:r w:rsidRPr="0003154B">
        <w:rPr>
          <w:rFonts w:ascii="Times New Roman" w:eastAsia="Times New Roman" w:hAnsi="Times New Roman" w:cs="Times New Roman"/>
          <w:kern w:val="0"/>
          <w14:ligatures w14:val="none"/>
        </w:rPr>
        <w:t xml:space="preserve"> distributions that are regularly varying. A function L is slowly varying if L(tx)/L(x) → 1 as x → ∞ for all t &gt; 0. A distribution is regularly varying with index −α if:</w:t>
      </w:r>
    </w:p>
    <w:p w14:paraId="0D5EE64B"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P(X &gt; x) = x^(−α) · L(x)</w:t>
      </w:r>
    </w:p>
    <w:p w14:paraId="0CB58EFC"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where L is slowly varying (e.g., logarithms, constants). Regular variation is precisely the condition required for the Generalized Central Limit Theorem — sums of i.i.d. regularly varying variables converge to a stable distribution with index α rather than a Gaussian. This is why power law concentration is structurally different from thin-tailed concentration: the aggregation behavior is governed by extremes, not averages.</w:t>
      </w:r>
    </w:p>
    <w:p w14:paraId="2C3B14D1"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Extreme value theory connection</w:t>
      </w:r>
    </w:p>
    <w:p w14:paraId="719A6366"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By the Pickands–Balkema–de Haan theorem, exceedances over a high threshold u converge (as u → ∞) to a Generalized Pareto Distribution:</w:t>
      </w:r>
    </w:p>
    <w:p w14:paraId="4AE43937"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P(X − u &gt; y | X &gt; u) → (1 + ξy/σ)^(−1/ξ)</w:t>
      </w:r>
    </w:p>
    <w:p w14:paraId="3073C1E2"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tail index ξ = 1/α connects extreme value theory directly to the power law exponent. This gives a second, independent route to estimating α via the Pickands or GPD estimators, and makes power laws the natural language of extreme concentration events.</w:t>
      </w:r>
    </w:p>
    <w:p w14:paraId="63E1B8D7"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Scale invariance as the defining algebraic property</w:t>
      </w:r>
    </w:p>
    <w:p w14:paraId="657D03B8"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A distribution F satisfies F(tx)/F(x) → t^(−α) iff it is power law. This ratio being constant in x is the </w:t>
      </w:r>
      <w:r w:rsidRPr="0003154B">
        <w:rPr>
          <w:rFonts w:ascii="Times New Roman" w:eastAsia="Times New Roman" w:hAnsi="Times New Roman" w:cs="Times New Roman"/>
          <w:i/>
          <w:iCs/>
          <w:kern w:val="0"/>
          <w14:ligatures w14:val="none"/>
        </w:rPr>
        <w:t>definition</w:t>
      </w:r>
      <w:r w:rsidRPr="0003154B">
        <w:rPr>
          <w:rFonts w:ascii="Times New Roman" w:eastAsia="Times New Roman" w:hAnsi="Times New Roman" w:cs="Times New Roman"/>
          <w:kern w:val="0"/>
          <w14:ligatures w14:val="none"/>
        </w:rPr>
        <w:t xml:space="preserve"> of scale-free behavior. It means the conditional distribution P(X &gt; tx | X &gt; x) doesn't depend on x — knowing you're already in the tail gives you no additional information about how deep in the tail you are. This memorylessness over scales is what makes power laws natural null models for concentration: </w:t>
      </w:r>
      <w:r w:rsidRPr="0003154B">
        <w:rPr>
          <w:rFonts w:ascii="Times New Roman" w:eastAsia="Times New Roman" w:hAnsi="Times New Roman" w:cs="Times New Roman"/>
          <w:kern w:val="0"/>
          <w:highlight w:val="yellow"/>
          <w14:ligatures w14:val="none"/>
        </w:rPr>
        <w:t>there is no characteristic scale at which concentration "stops."</w:t>
      </w:r>
    </w:p>
    <w:p w14:paraId="08048E1A"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The log-log linearity as a diagnostic, not a definition</w:t>
      </w:r>
    </w:p>
    <w:p w14:paraId="31CC3045"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On log-log axes, log P(X &gt; x) = −α log x + const, which is linear. This is why log-log plots are used diagnostically. But lognormal distributions also appear nearly linear over finite ranges — the tails diverge only asymptotically. Clauset, Shalizi &amp; Newman (2009) showed that naive OLS on log-log plots gives biased α estimates; MLE with KS-based goodness-of-fit is required to distinguish true power laws from near-power-law alternatives.</w:t>
      </w:r>
    </w:p>
    <w:p w14:paraId="0164A315"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bottom line: power laws measure concentration precisely because their single parameter α sits at the intersection of moment existence, Lorenz geometry, regular variation, and extreme value theory — all of which are different facets of the same underlying tail behavior.</w:t>
      </w:r>
    </w:p>
    <w:p w14:paraId="0CD11235"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lastRenderedPageBreak/>
        <w:t>expand and list the core mechanisms usually listed:</w:t>
      </w:r>
    </w:p>
    <w:p w14:paraId="4BB429DC"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They reveal the mechanism, not just the outcome Power laws often emerge from specific generative processes — preferential attachment ("the rich get richer"), multiplicative growth, or critical self-organization. Fitting a power law is thus a diagnostic tool: if your data follows one, it suggests why concentration is occurring, not just that it is.</w:t>
      </w:r>
    </w:p>
    <w:p w14:paraId="532AA5FD"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Here are the core generative mechanisms that produce power law distributions:</w:t>
      </w:r>
    </w:p>
    <w:p w14:paraId="262ECE3A"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3783081F">
          <v:rect id="_x0000_i1035" alt="" style="width:468pt;height:.05pt;mso-width-percent:0;mso-height-percent:0;mso-width-percent:0;mso-height-percent:0" o:hralign="center" o:hrstd="t" o:hr="t" fillcolor="#a0a0a0" stroked="f"/>
        </w:pict>
      </w:r>
    </w:p>
    <w:p w14:paraId="6CAA4F73"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1. Preferential Attachment (Yule-Simon / Barabási-Albert)</w:t>
      </w:r>
    </w:p>
    <w:p w14:paraId="5CB6DA73"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The probability of gaining a new unit is proportional to current size: P(node i gains edge) </w:t>
      </w:r>
      <w:r w:rsidRPr="0003154B">
        <w:rPr>
          <w:rFonts w:ascii="Cambria Math" w:eastAsia="Times New Roman" w:hAnsi="Cambria Math" w:cs="Cambria Math"/>
          <w:kern w:val="0"/>
          <w14:ligatures w14:val="none"/>
        </w:rPr>
        <w:t>∝</w:t>
      </w:r>
      <w:r w:rsidRPr="0003154B">
        <w:rPr>
          <w:rFonts w:ascii="Times New Roman" w:eastAsia="Times New Roman" w:hAnsi="Times New Roman" w:cs="Times New Roman"/>
          <w:kern w:val="0"/>
          <w14:ligatures w14:val="none"/>
        </w:rPr>
        <w:t xml:space="preserve"> kᵢ. This is the "rich get richer" or cumulative advantage mechanism. Formally, if xᵢ grows as:</w:t>
      </w:r>
    </w:p>
    <w:p w14:paraId="6DE7485D"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dxᵢ/dt = xᵢ / Σⱼ xⱼ</w:t>
      </w:r>
    </w:p>
    <w:p w14:paraId="5CD008C7"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stationary degree distribution converges to P(k) ~ k^(−3) for the BA model</w:t>
      </w:r>
      <w:r w:rsidRPr="0003154B">
        <w:rPr>
          <w:rFonts w:ascii="Times New Roman" w:eastAsia="Times New Roman" w:hAnsi="Times New Roman" w:cs="Times New Roman"/>
          <w:kern w:val="0"/>
          <w:highlight w:val="yellow"/>
          <w14:ligatures w14:val="none"/>
        </w:rPr>
        <w:t>. The exponent is determined by the ratio of linear attachment to growth rate — deviations from pure linearity (sub- or super-linear attachment) shift α continuously, which is why this mechanism is falsifiable</w:t>
      </w:r>
      <w:r w:rsidRPr="0003154B">
        <w:rPr>
          <w:rFonts w:ascii="Times New Roman" w:eastAsia="Times New Roman" w:hAnsi="Times New Roman" w:cs="Times New Roman"/>
          <w:kern w:val="0"/>
          <w14:ligatures w14:val="none"/>
        </w:rPr>
        <w:t>. Examples: citation networks, web links, city growth, wealth accumulation.</w:t>
      </w:r>
    </w:p>
    <w:p w14:paraId="33ED90D6"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1AC5BAB3">
          <v:rect id="_x0000_i1034" alt="" style="width:468pt;height:.05pt;mso-width-percent:0;mso-height-percent:0;mso-width-percent:0;mso-height-percent:0" o:hralign="center" o:hrstd="t" o:hr="t" fillcolor="#a0a0a0" stroked="f"/>
        </w:pict>
      </w:r>
    </w:p>
    <w:p w14:paraId="3BDA33B7"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2. Multiplicative Random Growth (Gibrat's Law)</w:t>
      </w:r>
    </w:p>
    <w:p w14:paraId="3CFEC261"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If a quantity grows by a random multiplicative factor each period:</w:t>
      </w:r>
    </w:p>
    <w:p w14:paraId="1473E758"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x(t+1) = η(t) · x(t), η ~ i.i.d.</w:t>
      </w:r>
    </w:p>
    <w:p w14:paraId="3D7EE838"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then log x(t) is a random walk, and by CLT log x(t) → Normal, giving a lognormal. To get a power law you need a </w:t>
      </w:r>
      <w:r w:rsidRPr="0003154B">
        <w:rPr>
          <w:rFonts w:ascii="Times New Roman" w:eastAsia="Times New Roman" w:hAnsi="Times New Roman" w:cs="Times New Roman"/>
          <w:i/>
          <w:iCs/>
          <w:kern w:val="0"/>
          <w:highlight w:val="yellow"/>
          <w14:ligatures w14:val="none"/>
        </w:rPr>
        <w:t>reflecting barrier</w:t>
      </w:r>
      <w:r w:rsidRPr="0003154B">
        <w:rPr>
          <w:rFonts w:ascii="Times New Roman" w:eastAsia="Times New Roman" w:hAnsi="Times New Roman" w:cs="Times New Roman"/>
          <w:kern w:val="0"/>
          <w14:ligatures w14:val="none"/>
        </w:rPr>
        <w:t xml:space="preserve"> at a lower bound x_min (Kesten process). With the barrier, the stationary distribution satisfies:</w:t>
      </w:r>
    </w:p>
    <w:p w14:paraId="489F9099"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P(x) ~ x^(−α)</w:t>
      </w:r>
    </w:p>
    <w:p w14:paraId="2C7B18C5"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where α depends on the ratio E[log η] / Var[log η]. The lower barrier can be a minimum firm size, subsistence income, or regulatory floor. Without it you get lognormal; with it you get Pareto. This is Gabaix's mechanism for city size distributions and firm size distributions. </w:t>
      </w:r>
      <w:r w:rsidRPr="0003154B">
        <w:rPr>
          <w:rFonts w:ascii="Times New Roman" w:eastAsia="Times New Roman" w:hAnsi="Times New Roman" w:cs="Times New Roman"/>
          <w:kern w:val="0"/>
          <w:highlight w:val="yellow"/>
          <w14:ligatures w14:val="none"/>
        </w:rPr>
        <w:t>The key insight: multiplicative growth alone is insufficient — you need a restoring force or lower absorbing boundary.</w:t>
      </w:r>
    </w:p>
    <w:p w14:paraId="09721995"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075E5A1B">
          <v:rect id="_x0000_i1033" alt="" style="width:468pt;height:.05pt;mso-width-percent:0;mso-height-percent:0;mso-width-percent:0;mso-height-percent:0" o:hralign="center" o:hrstd="t" o:hr="t" fillcolor="#a0a0a0" stroked="f"/>
        </w:pict>
      </w:r>
    </w:p>
    <w:p w14:paraId="794C1EB3"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3. Optimization and Rank-Size Rules (Zipf)</w:t>
      </w:r>
    </w:p>
    <w:p w14:paraId="7842B45B"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lastRenderedPageBreak/>
        <w:t>Zipf's law (α ≈ 1) emerges from several distinct optimization arguments:</w:t>
      </w:r>
    </w:p>
    <w:p w14:paraId="320E0683" w14:textId="77777777" w:rsidR="0003154B" w:rsidRPr="0003154B" w:rsidRDefault="0003154B" w:rsidP="000315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Information theory</w:t>
      </w:r>
      <w:r w:rsidRPr="0003154B">
        <w:rPr>
          <w:rFonts w:ascii="Times New Roman" w:eastAsia="Times New Roman" w:hAnsi="Times New Roman" w:cs="Times New Roman"/>
          <w:kern w:val="0"/>
          <w14:ligatures w14:val="none"/>
        </w:rPr>
        <w:t>: Zipf showed that a random typing model (monkey on a typewriter with a space key) produces rank-frequency ~ rank⁻¹. The exponent 1 is the maximum entropy solution under a constraint on expected code length.</w:t>
      </w:r>
    </w:p>
    <w:p w14:paraId="5F1CA861" w14:textId="77777777" w:rsidR="0003154B" w:rsidRPr="0003154B" w:rsidRDefault="0003154B" w:rsidP="000315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Central place theory</w:t>
      </w:r>
      <w:r w:rsidRPr="0003154B">
        <w:rPr>
          <w:rFonts w:ascii="Times New Roman" w:eastAsia="Times New Roman" w:hAnsi="Times New Roman" w:cs="Times New Roman"/>
          <w:kern w:val="0"/>
          <w14:ligatures w14:val="none"/>
        </w:rPr>
        <w:t>: Hierarchical nesting of market areas (Christaller) produces discrete rank-size scaling in city populations.</w:t>
      </w:r>
    </w:p>
    <w:p w14:paraId="69747471" w14:textId="77777777" w:rsidR="0003154B" w:rsidRPr="0003154B" w:rsidRDefault="0003154B" w:rsidP="0003154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Optimization of communication</w:t>
      </w:r>
      <w:r w:rsidRPr="0003154B">
        <w:rPr>
          <w:rFonts w:ascii="Times New Roman" w:eastAsia="Times New Roman" w:hAnsi="Times New Roman" w:cs="Times New Roman"/>
          <w:kern w:val="0"/>
          <w14:ligatures w14:val="none"/>
        </w:rPr>
        <w:t>: Miller (1957) showed α = 1 minimizes expected message length simultaneously for speaker and listener — it is the unique fixed point of that mutual optimization.</w:t>
      </w:r>
    </w:p>
    <w:p w14:paraId="33A3FFC6"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The mechanism here is not growth dynamics but </w:t>
      </w:r>
      <w:r w:rsidRPr="0003154B">
        <w:rPr>
          <w:rFonts w:ascii="Times New Roman" w:eastAsia="Times New Roman" w:hAnsi="Times New Roman" w:cs="Times New Roman"/>
          <w:i/>
          <w:iCs/>
          <w:kern w:val="0"/>
          <w14:ligatures w14:val="none"/>
        </w:rPr>
        <w:t>equilibrium conditions</w:t>
      </w:r>
      <w:r w:rsidRPr="0003154B">
        <w:rPr>
          <w:rFonts w:ascii="Times New Roman" w:eastAsia="Times New Roman" w:hAnsi="Times New Roman" w:cs="Times New Roman"/>
          <w:kern w:val="0"/>
          <w14:ligatures w14:val="none"/>
        </w:rPr>
        <w:t xml:space="preserve"> — the power law is the solution to an optimization problem rather than the attractor of a stochastic process.</w:t>
      </w:r>
    </w:p>
    <w:p w14:paraId="359817E9"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68EF738D">
          <v:rect id="_x0000_i1032" alt="" style="width:468pt;height:.05pt;mso-width-percent:0;mso-height-percent:0;mso-width-percent:0;mso-height-percent:0" o:hralign="center" o:hrstd="t" o:hr="t" fillcolor="#a0a0a0" stroked="f"/>
        </w:pict>
      </w:r>
    </w:p>
    <w:p w14:paraId="26DA1C57"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4. Self-Organized Criticality (SOC)</w:t>
      </w:r>
    </w:p>
    <w:p w14:paraId="187DEF27"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Bak, Tang &amp; Wiesenfeld (1987) showed that certain driven dissipative systems naturally evolve to a critical point without parameter tuning. At criticality, the correlation length diverges and event size distributions follow power laws. The sandpile model: add grains one at a time; avalanche sizes s follow P(s) ~ s^(−3/2). The mechanism is that the system self-tunes to the critical point because:</w:t>
      </w:r>
    </w:p>
    <w:p w14:paraId="324C71D4" w14:textId="77777777" w:rsidR="0003154B" w:rsidRPr="0003154B" w:rsidRDefault="0003154B" w:rsidP="000315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Sub-critical states absorb perturbations locally (no power law)</w:t>
      </w:r>
    </w:p>
    <w:p w14:paraId="39B79082" w14:textId="77777777" w:rsidR="0003154B" w:rsidRPr="0003154B" w:rsidRDefault="0003154B" w:rsidP="000315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Super-critical states are unstable</w:t>
      </w:r>
    </w:p>
    <w:p w14:paraId="522F916F" w14:textId="77777777" w:rsidR="0003154B" w:rsidRPr="0003154B" w:rsidRDefault="0003154B" w:rsidP="0003154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critical state is the unique attractor of the dynamics</w:t>
      </w:r>
    </w:p>
    <w:p w14:paraId="05EB30BC"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This produces power laws in earthquake magnitudes (Gutenberg-Richter), solar flares, neural avalanches, and financial volatility. The diagnostic signature beyond the power law is 1/f noise in the time series — power spectral density S(f) ~ f^(−β).</w:t>
      </w:r>
    </w:p>
    <w:p w14:paraId="2AB954DF"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63745F4D">
          <v:rect id="_x0000_i1031" alt="" style="width:468pt;height:.05pt;mso-width-percent:0;mso-height-percent:0;mso-width-percent:0;mso-height-percent:0" o:hralign="center" o:hrstd="t" o:hr="t" fillcolor="#a0a0a0" stroked="f"/>
        </w:pict>
      </w:r>
    </w:p>
    <w:p w14:paraId="22F9A7CF"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5. Mixture of Exponentials</w:t>
      </w:r>
    </w:p>
    <w:p w14:paraId="5EA77DE6"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If individual units have exponentially distributed lifetimes or sizes, but the </w:t>
      </w:r>
      <w:r w:rsidRPr="0003154B">
        <w:rPr>
          <w:rFonts w:ascii="Times New Roman" w:eastAsia="Times New Roman" w:hAnsi="Times New Roman" w:cs="Times New Roman"/>
          <w:i/>
          <w:iCs/>
          <w:kern w:val="0"/>
          <w14:ligatures w14:val="none"/>
        </w:rPr>
        <w:t>rate parameter</w:t>
      </w:r>
      <w:r w:rsidRPr="0003154B">
        <w:rPr>
          <w:rFonts w:ascii="Times New Roman" w:eastAsia="Times New Roman" w:hAnsi="Times New Roman" w:cs="Times New Roman"/>
          <w:kern w:val="0"/>
          <w14:ligatures w14:val="none"/>
        </w:rPr>
        <w:t xml:space="preserve"> λ is itself drawn from a Gamma distribution:</w:t>
      </w:r>
    </w:p>
    <w:p w14:paraId="5A95C841"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x | λ ~ Exp(λ), λ ~ Gamma(α, β)</w:t>
      </w:r>
    </w:p>
    <w:p w14:paraId="3F304E70"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then the marginal distribution of x is a Lomax (Pareto Type II) distribution with power law tail. More generally, any scale mixture of exponentials with a heavy-tailed mixing distribution produces a power law. This is a </w:t>
      </w:r>
      <w:r w:rsidRPr="0003154B">
        <w:rPr>
          <w:rFonts w:ascii="Times New Roman" w:eastAsia="Times New Roman" w:hAnsi="Times New Roman" w:cs="Times New Roman"/>
          <w:i/>
          <w:iCs/>
          <w:kern w:val="0"/>
          <w14:ligatures w14:val="none"/>
        </w:rPr>
        <w:t>statistical</w:t>
      </w:r>
      <w:r w:rsidRPr="0003154B">
        <w:rPr>
          <w:rFonts w:ascii="Times New Roman" w:eastAsia="Times New Roman" w:hAnsi="Times New Roman" w:cs="Times New Roman"/>
          <w:kern w:val="0"/>
          <w14:ligatures w14:val="none"/>
        </w:rPr>
        <w:t xml:space="preserve"> rather than dynamic mechanism — the power law is an </w:t>
      </w:r>
      <w:r w:rsidRPr="0003154B">
        <w:rPr>
          <w:rFonts w:ascii="Times New Roman" w:eastAsia="Times New Roman" w:hAnsi="Times New Roman" w:cs="Times New Roman"/>
          <w:i/>
          <w:iCs/>
          <w:kern w:val="0"/>
          <w14:ligatures w14:val="none"/>
        </w:rPr>
        <w:t>aggregation artifact</w:t>
      </w:r>
      <w:r w:rsidRPr="0003154B">
        <w:rPr>
          <w:rFonts w:ascii="Times New Roman" w:eastAsia="Times New Roman" w:hAnsi="Times New Roman" w:cs="Times New Roman"/>
          <w:kern w:val="0"/>
          <w14:ligatures w14:val="none"/>
        </w:rPr>
        <w:t xml:space="preserve"> arising from unobserved heterogeneity in rates. This is Mitzenmacher's point that power laws can emerge from populations of exponential processes with varying </w:t>
      </w:r>
      <w:r w:rsidRPr="0003154B">
        <w:rPr>
          <w:rFonts w:ascii="Times New Roman" w:eastAsia="Times New Roman" w:hAnsi="Times New Roman" w:cs="Times New Roman"/>
          <w:kern w:val="0"/>
          <w14:ligatures w14:val="none"/>
        </w:rPr>
        <w:lastRenderedPageBreak/>
        <w:t>parameters, without any preferential attachment or criticality. Empirically this means a power law fit is consistent with pure heterogeneity and carries no implications about dynamic concentration mechanisms.</w:t>
      </w:r>
    </w:p>
    <w:p w14:paraId="3B3DFCF3"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721C9B8F">
          <v:rect id="_x0000_i1030" alt="" style="width:468pt;height:.05pt;mso-width-percent:0;mso-height-percent:0;mso-width-percent:0;mso-height-percent:0" o:hralign="center" o:hrstd="t" o:hr="t" fillcolor="#a0a0a0" stroked="f"/>
        </w:pict>
      </w:r>
    </w:p>
    <w:p w14:paraId="541DBD15"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6. Extremal Selection / Maxima of Random Variables</w:t>
      </w:r>
    </w:p>
    <w:p w14:paraId="13EBC16C"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If observed values are the </w:t>
      </w:r>
      <w:r w:rsidRPr="0003154B">
        <w:rPr>
          <w:rFonts w:ascii="Times New Roman" w:eastAsia="Times New Roman" w:hAnsi="Times New Roman" w:cs="Times New Roman"/>
          <w:i/>
          <w:iCs/>
          <w:kern w:val="0"/>
          <w14:ligatures w14:val="none"/>
        </w:rPr>
        <w:t>maximum</w:t>
      </w:r>
      <w:r w:rsidRPr="0003154B">
        <w:rPr>
          <w:rFonts w:ascii="Times New Roman" w:eastAsia="Times New Roman" w:hAnsi="Times New Roman" w:cs="Times New Roman"/>
          <w:kern w:val="0"/>
          <w14:ligatures w14:val="none"/>
        </w:rPr>
        <w:t xml:space="preserve"> of n i.i.d. draws, and n is itself random (say Poisson or geometric), the distribution of the maximum follows a Fréchet distribution, which has a power law tail. This is the extreme value theory route: P(max(X₁,...,Xₙ) &gt; x) ~ x^(−α). The mechanism is </w:t>
      </w:r>
      <w:r w:rsidRPr="0003154B">
        <w:rPr>
          <w:rFonts w:ascii="Times New Roman" w:eastAsia="Times New Roman" w:hAnsi="Times New Roman" w:cs="Times New Roman"/>
          <w:i/>
          <w:iCs/>
          <w:kern w:val="0"/>
          <w14:ligatures w14:val="none"/>
        </w:rPr>
        <w:t>selection</w:t>
      </w:r>
      <w:r w:rsidRPr="0003154B">
        <w:rPr>
          <w:rFonts w:ascii="Times New Roman" w:eastAsia="Times New Roman" w:hAnsi="Times New Roman" w:cs="Times New Roman"/>
          <w:kern w:val="0"/>
          <w14:ligatures w14:val="none"/>
        </w:rPr>
        <w:t xml:space="preserve"> — we observe winners, top performers, record values — and the power law is a consequence of drawing extremes from any thin-tailed or moderately heavy-tailed parent. Examples: income distributions reflecting selection of top earners across firms, peak financial losses, best-of-n tournament outcomes.</w:t>
      </w:r>
    </w:p>
    <w:p w14:paraId="56680A33"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40621C6B">
          <v:rect id="_x0000_i1029" alt="" style="width:468pt;height:.05pt;mso-width-percent:0;mso-height-percent:0;mso-width-percent:0;mso-height-percent:0" o:hralign="center" o:hrstd="t" o:hr="t" fillcolor="#a0a0a0" stroked="f"/>
        </w:pict>
      </w:r>
    </w:p>
    <w:p w14:paraId="705C28AE"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7. Hierarchical Branching / Fractal Structure</w:t>
      </w:r>
    </w:p>
    <w:p w14:paraId="1A919978"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In branching processes where each node spawns offspring with mean μ near 1 (critical branching), the distribution of total cluster/cascade size follows P(s) ~ s^(−3/2) (the same exponent as SOC, for related reasons). If the branching structure is exactly self-similar across levels — as in river networks, bronchial trees, or organizational hierarchies — the size distribution of sub-units at each level scales as a fixed ratio, producing a discrete power law (log-periodic oscillations superimposed on the power law are the diagnostic). West, Brown &amp; Enquist's metabolic scaling theory derives biological power laws this way from fractal vascular networks.</w:t>
      </w:r>
    </w:p>
    <w:p w14:paraId="5EB9469E"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5599BA52">
          <v:rect id="_x0000_i1028" alt="" style="width:468pt;height:.05pt;mso-width-percent:0;mso-height-percent:0;mso-width-percent:0;mso-height-percent:0" o:hralign="center" o:hrstd="t" o:hr="t" fillcolor="#a0a0a0" stroked="f"/>
        </w:pict>
      </w:r>
    </w:p>
    <w:p w14:paraId="04D6F3D1"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The diagnostic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8"/>
        <w:gridCol w:w="4594"/>
        <w:gridCol w:w="2498"/>
      </w:tblGrid>
      <w:tr w:rsidR="0003154B" w:rsidRPr="0003154B" w14:paraId="10AE147E" w14:textId="77777777">
        <w:trPr>
          <w:tblHeader/>
          <w:tblCellSpacing w:w="15" w:type="dxa"/>
        </w:trPr>
        <w:tc>
          <w:tcPr>
            <w:tcW w:w="0" w:type="auto"/>
            <w:vAlign w:val="center"/>
            <w:hideMark/>
          </w:tcPr>
          <w:p w14:paraId="4554594A" w14:textId="77777777" w:rsidR="0003154B" w:rsidRPr="0003154B" w:rsidRDefault="0003154B" w:rsidP="0003154B">
            <w:pPr>
              <w:spacing w:after="0" w:line="240" w:lineRule="auto"/>
              <w:jc w:val="center"/>
              <w:rPr>
                <w:rFonts w:ascii="Times New Roman" w:eastAsia="Times New Roman" w:hAnsi="Times New Roman" w:cs="Times New Roman"/>
                <w:b/>
                <w:bCs/>
                <w:kern w:val="0"/>
                <w14:ligatures w14:val="none"/>
              </w:rPr>
            </w:pPr>
            <w:r w:rsidRPr="0003154B">
              <w:rPr>
                <w:rFonts w:ascii="Times New Roman" w:eastAsia="Times New Roman" w:hAnsi="Times New Roman" w:cs="Times New Roman"/>
                <w:b/>
                <w:bCs/>
                <w:kern w:val="0"/>
                <w14:ligatures w14:val="none"/>
              </w:rPr>
              <w:t>Mechanism</w:t>
            </w:r>
          </w:p>
        </w:tc>
        <w:tc>
          <w:tcPr>
            <w:tcW w:w="0" w:type="auto"/>
            <w:vAlign w:val="center"/>
            <w:hideMark/>
          </w:tcPr>
          <w:p w14:paraId="4FF246D8" w14:textId="77777777" w:rsidR="0003154B" w:rsidRPr="0003154B" w:rsidRDefault="0003154B" w:rsidP="0003154B">
            <w:pPr>
              <w:spacing w:after="0" w:line="240" w:lineRule="auto"/>
              <w:jc w:val="center"/>
              <w:rPr>
                <w:rFonts w:ascii="Times New Roman" w:eastAsia="Times New Roman" w:hAnsi="Times New Roman" w:cs="Times New Roman"/>
                <w:b/>
                <w:bCs/>
                <w:kern w:val="0"/>
                <w14:ligatures w14:val="none"/>
              </w:rPr>
            </w:pPr>
            <w:r w:rsidRPr="0003154B">
              <w:rPr>
                <w:rFonts w:ascii="Times New Roman" w:eastAsia="Times New Roman" w:hAnsi="Times New Roman" w:cs="Times New Roman"/>
                <w:b/>
                <w:bCs/>
                <w:kern w:val="0"/>
                <w14:ligatures w14:val="none"/>
              </w:rPr>
              <w:t>Key signature beyond power law</w:t>
            </w:r>
          </w:p>
        </w:tc>
        <w:tc>
          <w:tcPr>
            <w:tcW w:w="0" w:type="auto"/>
            <w:vAlign w:val="center"/>
            <w:hideMark/>
          </w:tcPr>
          <w:p w14:paraId="1C94B9F1" w14:textId="77777777" w:rsidR="0003154B" w:rsidRPr="0003154B" w:rsidRDefault="0003154B" w:rsidP="0003154B">
            <w:pPr>
              <w:spacing w:after="0" w:line="240" w:lineRule="auto"/>
              <w:jc w:val="center"/>
              <w:rPr>
                <w:rFonts w:ascii="Times New Roman" w:eastAsia="Times New Roman" w:hAnsi="Times New Roman" w:cs="Times New Roman"/>
                <w:b/>
                <w:bCs/>
                <w:kern w:val="0"/>
                <w14:ligatures w14:val="none"/>
              </w:rPr>
            </w:pPr>
            <w:r w:rsidRPr="0003154B">
              <w:rPr>
                <w:rFonts w:ascii="Times New Roman" w:eastAsia="Times New Roman" w:hAnsi="Times New Roman" w:cs="Times New Roman"/>
                <w:b/>
                <w:bCs/>
                <w:kern w:val="0"/>
                <w14:ligatures w14:val="none"/>
              </w:rPr>
              <w:t>α range</w:t>
            </w:r>
          </w:p>
        </w:tc>
      </w:tr>
      <w:tr w:rsidR="0003154B" w:rsidRPr="0003154B" w14:paraId="2E767522" w14:textId="77777777">
        <w:trPr>
          <w:tblCellSpacing w:w="15" w:type="dxa"/>
        </w:trPr>
        <w:tc>
          <w:tcPr>
            <w:tcW w:w="0" w:type="auto"/>
            <w:vAlign w:val="center"/>
            <w:hideMark/>
          </w:tcPr>
          <w:p w14:paraId="0154D342"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Preferential attachment</w:t>
            </w:r>
          </w:p>
        </w:tc>
        <w:tc>
          <w:tcPr>
            <w:tcW w:w="0" w:type="auto"/>
            <w:vAlign w:val="center"/>
            <w:hideMark/>
          </w:tcPr>
          <w:p w14:paraId="2E394845"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Degree-degree correlations, network structure</w:t>
            </w:r>
          </w:p>
        </w:tc>
        <w:tc>
          <w:tcPr>
            <w:tcW w:w="0" w:type="auto"/>
            <w:vAlign w:val="center"/>
            <w:hideMark/>
          </w:tcPr>
          <w:p w14:paraId="669648DF"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α </w:t>
            </w:r>
            <w:r w:rsidRPr="0003154B">
              <w:rPr>
                <w:rFonts w:ascii="Cambria Math" w:eastAsia="Times New Roman" w:hAnsi="Cambria Math" w:cs="Cambria Math"/>
                <w:kern w:val="0"/>
                <w14:ligatures w14:val="none"/>
              </w:rPr>
              <w:t>∈</w:t>
            </w:r>
            <w:r w:rsidRPr="0003154B">
              <w:rPr>
                <w:rFonts w:ascii="Times New Roman" w:eastAsia="Times New Roman" w:hAnsi="Times New Roman" w:cs="Times New Roman"/>
                <w:kern w:val="0"/>
                <w14:ligatures w14:val="none"/>
              </w:rPr>
              <w:t xml:space="preserve"> (2,3) typically</w:t>
            </w:r>
          </w:p>
        </w:tc>
      </w:tr>
      <w:tr w:rsidR="0003154B" w:rsidRPr="0003154B" w14:paraId="4B22010D" w14:textId="77777777">
        <w:trPr>
          <w:tblCellSpacing w:w="15" w:type="dxa"/>
        </w:trPr>
        <w:tc>
          <w:tcPr>
            <w:tcW w:w="0" w:type="auto"/>
            <w:vAlign w:val="center"/>
            <w:hideMark/>
          </w:tcPr>
          <w:p w14:paraId="11785A9E"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Multiplicative + barrier</w:t>
            </w:r>
          </w:p>
        </w:tc>
        <w:tc>
          <w:tcPr>
            <w:tcW w:w="0" w:type="auto"/>
            <w:vAlign w:val="center"/>
            <w:hideMark/>
          </w:tcPr>
          <w:p w14:paraId="51391AE4"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Lognormal body, Pareto tail</w:t>
            </w:r>
          </w:p>
        </w:tc>
        <w:tc>
          <w:tcPr>
            <w:tcW w:w="0" w:type="auto"/>
            <w:vAlign w:val="center"/>
            <w:hideMark/>
          </w:tcPr>
          <w:p w14:paraId="16C97F36"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&gt; 1, depends on volatility</w:t>
            </w:r>
          </w:p>
        </w:tc>
      </w:tr>
      <w:tr w:rsidR="0003154B" w:rsidRPr="0003154B" w14:paraId="39C830B9" w14:textId="77777777">
        <w:trPr>
          <w:tblCellSpacing w:w="15" w:type="dxa"/>
        </w:trPr>
        <w:tc>
          <w:tcPr>
            <w:tcW w:w="0" w:type="auto"/>
            <w:vAlign w:val="center"/>
            <w:hideMark/>
          </w:tcPr>
          <w:p w14:paraId="728F1FAB"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Optimization / Zipf</w:t>
            </w:r>
          </w:p>
        </w:tc>
        <w:tc>
          <w:tcPr>
            <w:tcW w:w="0" w:type="auto"/>
            <w:vAlign w:val="center"/>
            <w:hideMark/>
          </w:tcPr>
          <w:p w14:paraId="77BEDC0D"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 1 exactly, rank-size linearity</w:t>
            </w:r>
          </w:p>
        </w:tc>
        <w:tc>
          <w:tcPr>
            <w:tcW w:w="0" w:type="auto"/>
            <w:vAlign w:val="center"/>
            <w:hideMark/>
          </w:tcPr>
          <w:p w14:paraId="700CE55E"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 1</w:t>
            </w:r>
          </w:p>
        </w:tc>
      </w:tr>
      <w:tr w:rsidR="0003154B" w:rsidRPr="0003154B" w14:paraId="1B5A0405" w14:textId="77777777">
        <w:trPr>
          <w:tblCellSpacing w:w="15" w:type="dxa"/>
        </w:trPr>
        <w:tc>
          <w:tcPr>
            <w:tcW w:w="0" w:type="auto"/>
            <w:vAlign w:val="center"/>
            <w:hideMark/>
          </w:tcPr>
          <w:p w14:paraId="5002007F"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SOC</w:t>
            </w:r>
          </w:p>
        </w:tc>
        <w:tc>
          <w:tcPr>
            <w:tcW w:w="0" w:type="auto"/>
            <w:vAlign w:val="center"/>
            <w:hideMark/>
          </w:tcPr>
          <w:p w14:paraId="77D9F96D"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1/f noise, spatial correlations, no parameter tuning</w:t>
            </w:r>
          </w:p>
        </w:tc>
        <w:tc>
          <w:tcPr>
            <w:tcW w:w="0" w:type="auto"/>
            <w:vAlign w:val="center"/>
            <w:hideMark/>
          </w:tcPr>
          <w:p w14:paraId="0042BD04"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α </w:t>
            </w:r>
            <w:r w:rsidRPr="0003154B">
              <w:rPr>
                <w:rFonts w:ascii="Cambria Math" w:eastAsia="Times New Roman" w:hAnsi="Cambria Math" w:cs="Cambria Math"/>
                <w:kern w:val="0"/>
                <w14:ligatures w14:val="none"/>
              </w:rPr>
              <w:t>∈</w:t>
            </w:r>
            <w:r w:rsidRPr="0003154B">
              <w:rPr>
                <w:rFonts w:ascii="Times New Roman" w:eastAsia="Times New Roman" w:hAnsi="Times New Roman" w:cs="Times New Roman"/>
                <w:kern w:val="0"/>
                <w14:ligatures w14:val="none"/>
              </w:rPr>
              <w:t xml:space="preserve"> (1,2)</w:t>
            </w:r>
          </w:p>
        </w:tc>
      </w:tr>
      <w:tr w:rsidR="0003154B" w:rsidRPr="0003154B" w14:paraId="3E666C62" w14:textId="77777777">
        <w:trPr>
          <w:tblCellSpacing w:w="15" w:type="dxa"/>
        </w:trPr>
        <w:tc>
          <w:tcPr>
            <w:tcW w:w="0" w:type="auto"/>
            <w:vAlign w:val="center"/>
            <w:hideMark/>
          </w:tcPr>
          <w:p w14:paraId="6758E4D2"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Mixture of exponentials</w:t>
            </w:r>
          </w:p>
        </w:tc>
        <w:tc>
          <w:tcPr>
            <w:tcW w:w="0" w:type="auto"/>
            <w:vAlign w:val="center"/>
            <w:hideMark/>
          </w:tcPr>
          <w:p w14:paraId="584F2C92"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No dynamic correlation structure</w:t>
            </w:r>
          </w:p>
        </w:tc>
        <w:tc>
          <w:tcPr>
            <w:tcW w:w="0" w:type="auto"/>
            <w:vAlign w:val="center"/>
            <w:hideMark/>
          </w:tcPr>
          <w:p w14:paraId="706DC689"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&gt; 1</w:t>
            </w:r>
          </w:p>
        </w:tc>
      </w:tr>
      <w:tr w:rsidR="0003154B" w:rsidRPr="0003154B" w14:paraId="11F26EF5" w14:textId="77777777">
        <w:trPr>
          <w:tblCellSpacing w:w="15" w:type="dxa"/>
        </w:trPr>
        <w:tc>
          <w:tcPr>
            <w:tcW w:w="0" w:type="auto"/>
            <w:vAlign w:val="center"/>
            <w:hideMark/>
          </w:tcPr>
          <w:p w14:paraId="7A58B3C1"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Extremal selection</w:t>
            </w:r>
          </w:p>
        </w:tc>
        <w:tc>
          <w:tcPr>
            <w:tcW w:w="0" w:type="auto"/>
            <w:vAlign w:val="center"/>
            <w:hideMark/>
          </w:tcPr>
          <w:p w14:paraId="37F4F03F"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Tournament/competition structure observable</w:t>
            </w:r>
          </w:p>
        </w:tc>
        <w:tc>
          <w:tcPr>
            <w:tcW w:w="0" w:type="auto"/>
            <w:vAlign w:val="center"/>
            <w:hideMark/>
          </w:tcPr>
          <w:p w14:paraId="4AB16166"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&gt; 2</w:t>
            </w:r>
          </w:p>
        </w:tc>
      </w:tr>
      <w:tr w:rsidR="0003154B" w:rsidRPr="0003154B" w14:paraId="6732D4E5" w14:textId="77777777">
        <w:trPr>
          <w:tblCellSpacing w:w="15" w:type="dxa"/>
        </w:trPr>
        <w:tc>
          <w:tcPr>
            <w:tcW w:w="0" w:type="auto"/>
            <w:vAlign w:val="center"/>
            <w:hideMark/>
          </w:tcPr>
          <w:p w14:paraId="1C976BDF"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lastRenderedPageBreak/>
              <w:t>Fractal branching</w:t>
            </w:r>
          </w:p>
        </w:tc>
        <w:tc>
          <w:tcPr>
            <w:tcW w:w="0" w:type="auto"/>
            <w:vAlign w:val="center"/>
            <w:hideMark/>
          </w:tcPr>
          <w:p w14:paraId="78120CB2"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Log-periodic oscillations, allometric scaling</w:t>
            </w:r>
          </w:p>
        </w:tc>
        <w:tc>
          <w:tcPr>
            <w:tcW w:w="0" w:type="auto"/>
            <w:vAlign w:val="center"/>
            <w:hideMark/>
          </w:tcPr>
          <w:p w14:paraId="677DFBD4" w14:textId="77777777" w:rsidR="0003154B" w:rsidRPr="0003154B" w:rsidRDefault="0003154B" w:rsidP="0003154B">
            <w:pPr>
              <w:spacing w:after="0"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α = 3/2 often</w:t>
            </w:r>
          </w:p>
        </w:tc>
      </w:tr>
    </w:tbl>
    <w:p w14:paraId="241E5013"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practical implication: a power law fit alone does not identify mechanism. You need the exponent value, the body of the distribution, temporal autocorrelation structure, and network/spatial correlations together to distinguish which generative process is operating.</w:t>
      </w:r>
    </w:p>
    <w:p w14:paraId="319F61D0" w14:textId="77777777" w:rsidR="0003154B" w:rsidRPr="0003154B" w:rsidRDefault="0003154B" w:rsidP="0003154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Brock &amp; Durlauf</w:t>
      </w:r>
      <w:r w:rsidRPr="0003154B">
        <w:rPr>
          <w:rFonts w:ascii="Times New Roman" w:eastAsia="Times New Roman" w:hAnsi="Times New Roman" w:cs="Times New Roman"/>
          <w:kern w:val="0"/>
          <w14:ligatures w14:val="none"/>
        </w:rPr>
        <w:t xml:space="preserve"> — on social interactions and multiple equilibria producing heavy tails</w:t>
      </w:r>
    </w:p>
    <w:p w14:paraId="03B57F5E" w14:textId="77777777" w:rsidR="00B375F1" w:rsidRDefault="00B375F1" w:rsidP="0003154B">
      <w:pPr>
        <w:spacing w:before="100" w:beforeAutospacing="1" w:after="100" w:afterAutospacing="1" w:line="240" w:lineRule="auto"/>
        <w:rPr>
          <w:rFonts w:ascii="Times New Roman" w:eastAsia="Times New Roman" w:hAnsi="Times New Roman" w:cs="Times New Roman"/>
          <w:kern w:val="0"/>
          <w14:ligatures w14:val="none"/>
        </w:rPr>
      </w:pPr>
    </w:p>
    <w:p w14:paraId="088B9743" w14:textId="6DB2E985"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This is a genuinely hard identification problem because α </w:t>
      </w:r>
      <w:r w:rsidRPr="0003154B">
        <w:rPr>
          <w:rFonts w:ascii="Cambria Math" w:eastAsia="Times New Roman" w:hAnsi="Cambria Math" w:cs="Cambria Math"/>
          <w:kern w:val="0"/>
          <w14:ligatures w14:val="none"/>
        </w:rPr>
        <w:t>∈</w:t>
      </w:r>
      <w:r w:rsidRPr="0003154B">
        <w:rPr>
          <w:rFonts w:ascii="Times New Roman" w:eastAsia="Times New Roman" w:hAnsi="Times New Roman" w:cs="Times New Roman"/>
          <w:kern w:val="0"/>
          <w14:ligatures w14:val="none"/>
        </w:rPr>
        <w:t xml:space="preserve"> (1.8, 2.1) sits in a region where several mechanisms are observationally equivalent in the marginal distribution alone. Here's what additional diagnostics would sharpen the inference:</w:t>
      </w:r>
    </w:p>
    <w:p w14:paraId="6E36A134"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6C88B69C">
          <v:rect id="_x0000_i1027" alt="" style="width:468pt;height:.05pt;mso-width-percent:0;mso-height-percent:0;mso-width-percent:0;mso-height-percent:0" o:hralign="center" o:hrstd="t" o:hr="t" fillcolor="#a0a0a0" stroked="f"/>
        </w:pict>
      </w:r>
    </w:p>
    <w:p w14:paraId="40D34D1D"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Why this range is particularly ambiguous</w:t>
      </w:r>
    </w:p>
    <w:p w14:paraId="054229BB"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At α ≈ 2, you're at the boundary between infinite and finite variance. The mechanisms that produce this specific range overlap heavily:</w:t>
      </w:r>
    </w:p>
    <w:p w14:paraId="56479664" w14:textId="77777777" w:rsidR="0003154B" w:rsidRPr="0003154B" w:rsidRDefault="0003154B" w:rsidP="0003154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Preferential attachment (BA model) generically produces α = 3, but </w:t>
      </w:r>
      <w:r w:rsidRPr="0003154B">
        <w:rPr>
          <w:rFonts w:ascii="Times New Roman" w:eastAsia="Times New Roman" w:hAnsi="Times New Roman" w:cs="Times New Roman"/>
          <w:i/>
          <w:iCs/>
          <w:kern w:val="0"/>
          <w14:ligatures w14:val="none"/>
        </w:rPr>
        <w:t>weighted</w:t>
      </w:r>
      <w:r w:rsidRPr="0003154B">
        <w:rPr>
          <w:rFonts w:ascii="Times New Roman" w:eastAsia="Times New Roman" w:hAnsi="Times New Roman" w:cs="Times New Roman"/>
          <w:kern w:val="0"/>
          <w14:ligatures w14:val="none"/>
        </w:rPr>
        <w:t xml:space="preserve"> or </w:t>
      </w:r>
      <w:r w:rsidRPr="0003154B">
        <w:rPr>
          <w:rFonts w:ascii="Times New Roman" w:eastAsia="Times New Roman" w:hAnsi="Times New Roman" w:cs="Times New Roman"/>
          <w:i/>
          <w:iCs/>
          <w:kern w:val="0"/>
          <w14:ligatures w14:val="none"/>
        </w:rPr>
        <w:t>nonlinear</w:t>
      </w:r>
      <w:r w:rsidRPr="0003154B">
        <w:rPr>
          <w:rFonts w:ascii="Times New Roman" w:eastAsia="Times New Roman" w:hAnsi="Times New Roman" w:cs="Times New Roman"/>
          <w:kern w:val="0"/>
          <w14:ligatures w14:val="none"/>
        </w:rPr>
        <w:t xml:space="preserve"> attachment with fitness heterogeneity pulls α down toward 2</w:t>
      </w:r>
    </w:p>
    <w:p w14:paraId="136161A8" w14:textId="77777777" w:rsidR="0003154B" w:rsidRPr="0003154B" w:rsidRDefault="0003154B" w:rsidP="0003154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Multiplicative growth + absorbing barrier (Kesten) produces α determined by E[log η]/Var[log η] — easily lands in (1.8, 2.1) for plausible growth volatility</w:t>
      </w:r>
    </w:p>
    <w:p w14:paraId="19EC3004" w14:textId="77777777" w:rsidR="0003154B" w:rsidRPr="0003154B" w:rsidRDefault="0003154B" w:rsidP="0003154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Mixture of exponentials with Gamma-distributed rates also concentrates mass here</w:t>
      </w:r>
    </w:p>
    <w:p w14:paraId="14FAD5F5"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R statistic in your data (negative for personal developers, positive for org developers in most years) already suggests a log-normal body with power-law tail for personal devs — which points toward Kesten/Gibrat rather than pure preferential attachment. But that's not conclusive.</w:t>
      </w:r>
    </w:p>
    <w:p w14:paraId="75EEDCEF"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282499EB">
          <v:rect id="_x0000_i1026" alt="" style="width:468pt;height:.05pt;mso-width-percent:0;mso-height-percent:0;mso-width-percent:0;mso-height-percent:0" o:hralign="center" o:hrstd="t" o:hr="t" fillcolor="#a0a0a0" stroked="f"/>
        </w:pict>
      </w:r>
    </w:p>
    <w:p w14:paraId="679EC138"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Additional diagnostics</w:t>
      </w:r>
    </w:p>
    <w:p w14:paraId="5067800C"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1. Test linearity of the attachment kernel</w:t>
      </w:r>
    </w:p>
    <w:p w14:paraId="2DA82C1F"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Preferential attachment predicts that a developer's </w:t>
      </w:r>
      <w:r w:rsidRPr="0003154B">
        <w:rPr>
          <w:rFonts w:ascii="Times New Roman" w:eastAsia="Times New Roman" w:hAnsi="Times New Roman" w:cs="Times New Roman"/>
          <w:i/>
          <w:iCs/>
          <w:kern w:val="0"/>
          <w14:ligatures w14:val="none"/>
        </w:rPr>
        <w:t>growth rate</w:t>
      </w:r>
      <w:r w:rsidRPr="0003154B">
        <w:rPr>
          <w:rFonts w:ascii="Times New Roman" w:eastAsia="Times New Roman" w:hAnsi="Times New Roman" w:cs="Times New Roman"/>
          <w:kern w:val="0"/>
          <w14:ligatures w14:val="none"/>
        </w:rPr>
        <w:t xml:space="preserve"> in commits should be linear in their current commit count. Estimate:</w:t>
      </w:r>
    </w:p>
    <w:p w14:paraId="27B159FC"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Δxᵢ(t) = a · xᵢ(t)^β + ε</w:t>
      </w:r>
    </w:p>
    <w:p w14:paraId="59D5DF47"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If β ≈ 1: consistent with linear preferential attachment If β &lt; 1: sublinear — advantages compound but decelerate If β &gt; 1: superlinear — winner-take-all accelerating</w:t>
      </w:r>
    </w:p>
    <w:p w14:paraId="7CE3929D"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lastRenderedPageBreak/>
        <w:t xml:space="preserve">You can estimate this directly from your panel: regress year-over-year commit growth on lagged commit level, in logs. The slope is β. This is the single most discriminating test between preferential attachment and multiplicative growth, because multiplicative growth implies β = 1 with a </w:t>
      </w:r>
      <w:r w:rsidRPr="0003154B">
        <w:rPr>
          <w:rFonts w:ascii="Times New Roman" w:eastAsia="Times New Roman" w:hAnsi="Times New Roman" w:cs="Times New Roman"/>
          <w:i/>
          <w:iCs/>
          <w:kern w:val="0"/>
          <w14:ligatures w14:val="none"/>
        </w:rPr>
        <w:t>multiplicative</w:t>
      </w:r>
      <w:r w:rsidRPr="0003154B">
        <w:rPr>
          <w:rFonts w:ascii="Times New Roman" w:eastAsia="Times New Roman" w:hAnsi="Times New Roman" w:cs="Times New Roman"/>
          <w:kern w:val="0"/>
          <w14:ligatures w14:val="none"/>
        </w:rPr>
        <w:t xml:space="preserve"> error structure, while preferential attachment implies β = 1 with an </w:t>
      </w:r>
      <w:r w:rsidRPr="0003154B">
        <w:rPr>
          <w:rFonts w:ascii="Times New Roman" w:eastAsia="Times New Roman" w:hAnsi="Times New Roman" w:cs="Times New Roman"/>
          <w:i/>
          <w:iCs/>
          <w:kern w:val="0"/>
          <w14:ligatures w14:val="none"/>
        </w:rPr>
        <w:t>additive</w:t>
      </w:r>
      <w:r w:rsidRPr="0003154B">
        <w:rPr>
          <w:rFonts w:ascii="Times New Roman" w:eastAsia="Times New Roman" w:hAnsi="Times New Roman" w:cs="Times New Roman"/>
          <w:kern w:val="0"/>
          <w14:ligatures w14:val="none"/>
        </w:rPr>
        <w:t xml:space="preserve"> structure. The residual distribution tells you which.</w:t>
      </w:r>
    </w:p>
    <w:p w14:paraId="417C797C"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2. Autocorrelation structure of the time series</w:t>
      </w:r>
    </w:p>
    <w:p w14:paraId="5F4D6BD4"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SOC predicts 1/f noise — power spectral density S(f) ~ f^(−β) with β ≈ 1. Compute the PSD of aggregate commit counts over time (you have 2019–2025 monthly). If you see 1/f structure, SOC is in play. If you see white noise or AR(1) structure, it isn't. This is easy to run and rules out one mechanism entirely.</w:t>
      </w:r>
    </w:p>
    <w:p w14:paraId="382E7F6E"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3. Variance scaling test (Taylor's Law)</w:t>
      </w:r>
    </w:p>
    <w:p w14:paraId="6ADB6983"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For multiplicative growth processes, the variance scales with the mean as:</w:t>
      </w:r>
    </w:p>
    <w:p w14:paraId="7E6BBC86"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Var(xᵢ) ~ Mean(xᵢ)^τ</w:t>
      </w:r>
    </w:p>
    <w:p w14:paraId="062C5D24"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For Poisson processes τ = 1, for lognormal τ = 2, for power laws τ &gt; 2. Estimate τ by computing mean and variance of commits across developers within cohorts defined by their 2019 baseline level. A slope τ ≈ 2 on a log-log plot of variance vs. mean strongly supports multiplicative/Gibrat. This is a standard test from ecology (Taylor's Law) that translates directly to productivity distributions.</w:t>
      </w:r>
    </w:p>
    <w:p w14:paraId="6EFDD650"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4. The lower absorbing barrier test</w:t>
      </w:r>
    </w:p>
    <w:p w14:paraId="1B13A9A9"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Kesten mechanism requires a barrier at x_min — something preventing developers from dropping below a floor. In your data, this would manifest as a spike or kink in the density just above your xmin threshold. Plot the empirical density (not just the tail CCDF) around xmin for each year. If there's excess mass just above the threshold relative to what the fitted power law predicts, that's evidence of a reflecting barrier — minimum activity levels that active developers don't fall below (the "I commit at least once a week" floor).</w:t>
      </w:r>
    </w:p>
    <w:p w14:paraId="5C606FC4"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5. Cohort decomposition</w:t>
      </w:r>
    </w:p>
    <w:p w14:paraId="7AAC94F5"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Decompose the α decline into:</w:t>
      </w:r>
    </w:p>
    <w:p w14:paraId="49DB6447" w14:textId="77777777" w:rsidR="0003154B" w:rsidRPr="0003154B" w:rsidRDefault="0003154B" w:rsidP="0003154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Intensive margin</w:t>
      </w:r>
      <w:r w:rsidRPr="0003154B">
        <w:rPr>
          <w:rFonts w:ascii="Times New Roman" w:eastAsia="Times New Roman" w:hAnsi="Times New Roman" w:cs="Times New Roman"/>
          <w:kern w:val="0"/>
          <w14:ligatures w14:val="none"/>
        </w:rPr>
        <w:t>: existing developers increasing their commit counts (existing superstars pulling further ahead)</w:t>
      </w:r>
    </w:p>
    <w:p w14:paraId="00A2D994" w14:textId="77777777" w:rsidR="0003154B" w:rsidRPr="0003154B" w:rsidRDefault="0003154B" w:rsidP="0003154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Extensive margin</w:t>
      </w:r>
      <w:r w:rsidRPr="0003154B">
        <w:rPr>
          <w:rFonts w:ascii="Times New Roman" w:eastAsia="Times New Roman" w:hAnsi="Times New Roman" w:cs="Times New Roman"/>
          <w:kern w:val="0"/>
          <w14:ligatures w14:val="none"/>
        </w:rPr>
        <w:t>: new developers entering at extreme commit counts (new superstars appearing)</w:t>
      </w:r>
    </w:p>
    <w:p w14:paraId="0281B7D2"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 xml:space="preserve">You can do this by tracking your transition matrices more carefully — what fraction of the top 1% in 2024 were in the top 1% in 2019 vs. new entrants? Your persistence data (37.3% for org post-AI) already hints at intensive margin dominance, but a full cohort decomposition would nail </w:t>
      </w:r>
      <w:r w:rsidRPr="0003154B">
        <w:rPr>
          <w:rFonts w:ascii="Times New Roman" w:eastAsia="Times New Roman" w:hAnsi="Times New Roman" w:cs="Times New Roman"/>
          <w:kern w:val="0"/>
          <w14:ligatures w14:val="none"/>
        </w:rPr>
        <w:lastRenderedPageBreak/>
        <w:t>it. Pure preferential attachment predicts new entrants can displace incumbents; Kesten with fitness heterogeneity predicts persistent incumbents with occasional high-fitness entrants.</w:t>
      </w:r>
    </w:p>
    <w:p w14:paraId="4575977B"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6. Fitness model test</w:t>
      </w:r>
    </w:p>
    <w:p w14:paraId="4B4124C2"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Bianconi-Barabási extended preferential attachment by giving each node a fitness ηᵢ drawn from a distribution ρ(η). The resulting degree distribution is:</w:t>
      </w:r>
    </w:p>
    <w:p w14:paraId="1D2BF441"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P(k) ~ ∫ P(k|η) ρ(η) dη</w:t>
      </w:r>
    </w:p>
    <w:p w14:paraId="3A4629EB"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When ρ(η) is heavy-tailed, this produces α &lt; 3 and can explain your range. The test: compute the correlation between a developer's 2019 commit rank and their 2025 commit rank. Under pure preferential attachment, early movers have persistent advantage but fitness doesn't matter — rank correlation should be moderate. Under the fitness model, high-fitness developers should rise regardless of when they started — rank correlation between entry cohort size and eventual rank should be near zero, but fitness proxies (commit quality, repo diversity) should predict long-run rank. You'd need commit message quality or repo star counts as fitness proxies, which GH Archive can provide.</w:t>
      </w:r>
    </w:p>
    <w:p w14:paraId="30C30113"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7. The "winner-take-most vs. winner-take-all" test</w:t>
      </w:r>
    </w:p>
    <w:p w14:paraId="440D1489"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At α = 1.8, the theoretical top-1% share is approximately:</w:t>
      </w:r>
    </w:p>
    <w:p w14:paraId="44D9B56B"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S(0.01) = 0.01^(1 − 1/(α−1)) = 0.01^(1 − 1/0.8) = 0.01^(−0.25) ≈ 56%</w:t>
      </w:r>
    </w:p>
    <w:p w14:paraId="6F11A80E"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Your empirical top-1% share for personal developers in 2024 is 60.8% — slightly above the theoretical Pareto prediction. This excess concentration above the pure Pareto prediction suggests either the tail is even heavier than α = 1.78 implies (truncation bias from your 10,000 ceiling pushing α upward), or there's a second mechanism operating specifically at the very top. The ceiling effect you note (180 accounts hitting 10,000 in 2024 vs. 1 in 2023) almost certainly biases α upward — correcting for this would likely push α further down and bring the theoretical and empirical top shares into alignment.</w:t>
      </w:r>
    </w:p>
    <w:p w14:paraId="1369074B" w14:textId="77777777" w:rsidR="0003154B" w:rsidRPr="0003154B" w:rsidRDefault="004F4766" w:rsidP="0003154B">
      <w:pPr>
        <w:spacing w:after="0" w:line="240" w:lineRule="auto"/>
        <w:rPr>
          <w:rFonts w:ascii="Times New Roman" w:eastAsia="Times New Roman" w:hAnsi="Times New Roman" w:cs="Times New Roman"/>
          <w:kern w:val="0"/>
          <w14:ligatures w14:val="none"/>
        </w:rPr>
      </w:pPr>
      <w:r w:rsidRPr="004F4766">
        <w:rPr>
          <w:rFonts w:ascii="Times New Roman" w:eastAsia="Times New Roman" w:hAnsi="Times New Roman" w:cs="Times New Roman"/>
          <w:noProof/>
          <w:kern w:val="0"/>
        </w:rPr>
        <w:pict w14:anchorId="62EDB1FE">
          <v:rect id="_x0000_i1025" alt="" style="width:468pt;height:.05pt;mso-width-percent:0;mso-height-percent:0;mso-width-percent:0;mso-height-percent:0" o:hralign="center" o:hrstd="t" o:hr="t" fillcolor="#a0a0a0" stroked="f"/>
        </w:pict>
      </w:r>
    </w:p>
    <w:p w14:paraId="3F49726E" w14:textId="77777777" w:rsidR="0003154B" w:rsidRPr="0003154B" w:rsidRDefault="0003154B" w:rsidP="0003154B">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b/>
          <w:bCs/>
          <w:kern w:val="0"/>
          <w14:ligatures w14:val="none"/>
        </w:rPr>
        <w:t>The most actionable next step given your data</w:t>
      </w:r>
    </w:p>
    <w:p w14:paraId="70534320" w14:textId="1897752D" w:rsidR="00007324" w:rsidRPr="00B375F1" w:rsidRDefault="0003154B" w:rsidP="00B375F1">
      <w:pPr>
        <w:spacing w:before="100" w:beforeAutospacing="1" w:after="100" w:afterAutospacing="1" w:line="240" w:lineRule="auto"/>
        <w:rPr>
          <w:rFonts w:ascii="Times New Roman" w:eastAsia="Times New Roman" w:hAnsi="Times New Roman" w:cs="Times New Roman"/>
          <w:kern w:val="0"/>
          <w14:ligatures w14:val="none"/>
        </w:rPr>
      </w:pPr>
      <w:r w:rsidRPr="0003154B">
        <w:rPr>
          <w:rFonts w:ascii="Times New Roman" w:eastAsia="Times New Roman" w:hAnsi="Times New Roman" w:cs="Times New Roman"/>
          <w:kern w:val="0"/>
          <w14:ligatures w14:val="none"/>
        </w:rPr>
        <w:t>The attachment kernel regression (diagnostic 1) and cohort decomposition (diagnostic 5) are both feasible with your existing panel and would together answer the mechanism question most directly. If β ≈ 1 with multiplicative residuals and persistence is incumbent-driven, the story is Kesten + fitness heterogeneity — skill or tool-adoption heterogeneity compounds multiplicatively, with a floor at minimum activity levels. If β &gt; 1 and new entrants are driving the tail, it's closer to superlinear preferential attachment, which would be more consistent with a pure "AI amplifies the already-productive" story where network effects around AI tool mastery are accelerating</w:t>
      </w:r>
    </w:p>
    <w:sectPr w:rsidR="00007324" w:rsidRPr="00B375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1B03"/>
    <w:multiLevelType w:val="multilevel"/>
    <w:tmpl w:val="FE90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285A"/>
    <w:multiLevelType w:val="multilevel"/>
    <w:tmpl w:val="67B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665BA"/>
    <w:multiLevelType w:val="multilevel"/>
    <w:tmpl w:val="A780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A914E4"/>
    <w:multiLevelType w:val="multilevel"/>
    <w:tmpl w:val="4684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F0459C"/>
    <w:multiLevelType w:val="multilevel"/>
    <w:tmpl w:val="6C8C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845B65"/>
    <w:multiLevelType w:val="multilevel"/>
    <w:tmpl w:val="D158C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FA3903"/>
    <w:multiLevelType w:val="multilevel"/>
    <w:tmpl w:val="AD121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7E50D7"/>
    <w:multiLevelType w:val="multilevel"/>
    <w:tmpl w:val="283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BC060E"/>
    <w:multiLevelType w:val="multilevel"/>
    <w:tmpl w:val="0EBA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5236720">
    <w:abstractNumId w:val="2"/>
  </w:num>
  <w:num w:numId="2" w16cid:durableId="2016030045">
    <w:abstractNumId w:val="5"/>
  </w:num>
  <w:num w:numId="3" w16cid:durableId="177231623">
    <w:abstractNumId w:val="3"/>
  </w:num>
  <w:num w:numId="4" w16cid:durableId="1080054231">
    <w:abstractNumId w:val="0"/>
  </w:num>
  <w:num w:numId="5" w16cid:durableId="638070423">
    <w:abstractNumId w:val="7"/>
  </w:num>
  <w:num w:numId="6" w16cid:durableId="602032315">
    <w:abstractNumId w:val="6"/>
  </w:num>
  <w:num w:numId="7" w16cid:durableId="74980097">
    <w:abstractNumId w:val="8"/>
  </w:num>
  <w:num w:numId="8" w16cid:durableId="20715350">
    <w:abstractNumId w:val="4"/>
  </w:num>
  <w:num w:numId="9" w16cid:durableId="493761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54B"/>
    <w:rsid w:val="00007324"/>
    <w:rsid w:val="0003154B"/>
    <w:rsid w:val="00093445"/>
    <w:rsid w:val="004F4766"/>
    <w:rsid w:val="00967E33"/>
    <w:rsid w:val="00B375F1"/>
    <w:rsid w:val="00E07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DD361"/>
  <w15:chartTrackingRefBased/>
  <w15:docId w15:val="{72DB62FA-D228-2A4A-A146-FBC66924D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15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15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15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15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15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15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15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15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15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15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15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15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15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15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15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15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15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154B"/>
    <w:rPr>
      <w:rFonts w:eastAsiaTheme="majorEastAsia" w:cstheme="majorBidi"/>
      <w:color w:val="272727" w:themeColor="text1" w:themeTint="D8"/>
    </w:rPr>
  </w:style>
  <w:style w:type="paragraph" w:styleId="Title">
    <w:name w:val="Title"/>
    <w:basedOn w:val="Normal"/>
    <w:next w:val="Normal"/>
    <w:link w:val="TitleChar"/>
    <w:uiPriority w:val="10"/>
    <w:qFormat/>
    <w:rsid w:val="000315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15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15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15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154B"/>
    <w:pPr>
      <w:spacing w:before="160"/>
      <w:jc w:val="center"/>
    </w:pPr>
    <w:rPr>
      <w:i/>
      <w:iCs/>
      <w:color w:val="404040" w:themeColor="text1" w:themeTint="BF"/>
    </w:rPr>
  </w:style>
  <w:style w:type="character" w:customStyle="1" w:styleId="QuoteChar">
    <w:name w:val="Quote Char"/>
    <w:basedOn w:val="DefaultParagraphFont"/>
    <w:link w:val="Quote"/>
    <w:uiPriority w:val="29"/>
    <w:rsid w:val="0003154B"/>
    <w:rPr>
      <w:i/>
      <w:iCs/>
      <w:color w:val="404040" w:themeColor="text1" w:themeTint="BF"/>
    </w:rPr>
  </w:style>
  <w:style w:type="paragraph" w:styleId="ListParagraph">
    <w:name w:val="List Paragraph"/>
    <w:basedOn w:val="Normal"/>
    <w:uiPriority w:val="34"/>
    <w:qFormat/>
    <w:rsid w:val="0003154B"/>
    <w:pPr>
      <w:ind w:left="720"/>
      <w:contextualSpacing/>
    </w:pPr>
  </w:style>
  <w:style w:type="character" w:styleId="IntenseEmphasis">
    <w:name w:val="Intense Emphasis"/>
    <w:basedOn w:val="DefaultParagraphFont"/>
    <w:uiPriority w:val="21"/>
    <w:qFormat/>
    <w:rsid w:val="0003154B"/>
    <w:rPr>
      <w:i/>
      <w:iCs/>
      <w:color w:val="0F4761" w:themeColor="accent1" w:themeShade="BF"/>
    </w:rPr>
  </w:style>
  <w:style w:type="paragraph" w:styleId="IntenseQuote">
    <w:name w:val="Intense Quote"/>
    <w:basedOn w:val="Normal"/>
    <w:next w:val="Normal"/>
    <w:link w:val="IntenseQuoteChar"/>
    <w:uiPriority w:val="30"/>
    <w:qFormat/>
    <w:rsid w:val="000315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154B"/>
    <w:rPr>
      <w:i/>
      <w:iCs/>
      <w:color w:val="0F4761" w:themeColor="accent1" w:themeShade="BF"/>
    </w:rPr>
  </w:style>
  <w:style w:type="character" w:styleId="IntenseReference">
    <w:name w:val="Intense Reference"/>
    <w:basedOn w:val="DefaultParagraphFont"/>
    <w:uiPriority w:val="32"/>
    <w:qFormat/>
    <w:rsid w:val="0003154B"/>
    <w:rPr>
      <w:b/>
      <w:bCs/>
      <w:smallCaps/>
      <w:color w:val="0F4761" w:themeColor="accent1" w:themeShade="BF"/>
      <w:spacing w:val="5"/>
    </w:rPr>
  </w:style>
  <w:style w:type="paragraph" w:styleId="NormalWeb">
    <w:name w:val="Normal (Web)"/>
    <w:basedOn w:val="Normal"/>
    <w:uiPriority w:val="99"/>
    <w:semiHidden/>
    <w:unhideWhenUsed/>
    <w:rsid w:val="000315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3154B"/>
    <w:rPr>
      <w:b/>
      <w:bCs/>
    </w:rPr>
  </w:style>
  <w:style w:type="character" w:styleId="Emphasis">
    <w:name w:val="Emphasis"/>
    <w:basedOn w:val="DefaultParagraphFont"/>
    <w:uiPriority w:val="20"/>
    <w:qFormat/>
    <w:rsid w:val="0003154B"/>
    <w:rPr>
      <w:i/>
      <w:iCs/>
    </w:rPr>
  </w:style>
  <w:style w:type="paragraph" w:customStyle="1" w:styleId="font-claude-response-body">
    <w:name w:val="font-claude-response-body"/>
    <w:basedOn w:val="Normal"/>
    <w:rsid w:val="000315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03154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03154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03154B"/>
  </w:style>
  <w:style w:type="paragraph" w:customStyle="1" w:styleId="uppercase">
    <w:name w:val="uppercase"/>
    <w:basedOn w:val="Normal"/>
    <w:rsid w:val="000315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03154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2611</Words>
  <Characters>14884</Characters>
  <Application>Microsoft Office Word</Application>
  <DocSecurity>0</DocSecurity>
  <Lines>124</Lines>
  <Paragraphs>34</Paragraphs>
  <ScaleCrop>false</ScaleCrop>
  <Company/>
  <LinksUpToDate>false</LinksUpToDate>
  <CharactersWithSpaces>17461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 Strauss</dc:creator>
  <cp:keywords/>
  <dc:description/>
  <cp:lastModifiedBy>Ilan Strauss</cp:lastModifiedBy>
  <cp:revision>2</cp:revision>
  <dcterms:created xsi:type="dcterms:W3CDTF">2026-04-07T20:28:00Z</dcterms:created>
  <dcterms:modified xsi:type="dcterms:W3CDTF">2026-04-07T20:31:00Z</dcterms:modified>
</cp:coreProperties>
</file>