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E1D0E" w14:textId="766C675C" w:rsidR="003D3CE8" w:rsidRPr="0094470F" w:rsidRDefault="003D3CE8" w:rsidP="003D3CE8">
      <w:pPr>
        <w:pStyle w:val="Heading1"/>
      </w:pPr>
      <w:r>
        <w:t>Inhibitor Kinetics</w:t>
      </w:r>
      <w:r>
        <w:t xml:space="preserve"> Discussion Questions</w:t>
      </w:r>
    </w:p>
    <w:p w14:paraId="160D8ECF" w14:textId="77777777" w:rsidR="003D3CE8" w:rsidRDefault="003D3CE8" w:rsidP="003D3CE8">
      <w:r>
        <w:t>Ilana Berlin</w:t>
      </w:r>
    </w:p>
    <w:p w14:paraId="0F4D566C" w14:textId="195A2C68" w:rsidR="003D3CE8" w:rsidRDefault="003D3CE8" w:rsidP="003D3CE8">
      <w:r>
        <w:t>11/19/2025</w:t>
      </w:r>
    </w:p>
    <w:p w14:paraId="04435979" w14:textId="25F6D0D3" w:rsidR="003D3CE8" w:rsidRDefault="003D3CE8" w:rsidP="003D3CE8">
      <w:pPr>
        <w:rPr>
          <w:color w:val="156082" w:themeColor="accent1"/>
        </w:rPr>
      </w:pPr>
      <w:r w:rsidRPr="003D3CE8">
        <w:rPr>
          <w:color w:val="156082" w:themeColor="accent1"/>
        </w:rPr>
        <w:t xml:space="preserve">What mode of inhibition </w:t>
      </w:r>
      <w:proofErr w:type="gramStart"/>
      <w:r w:rsidRPr="003D3CE8">
        <w:rPr>
          <w:color w:val="156082" w:themeColor="accent1"/>
        </w:rPr>
        <w:t>do</w:t>
      </w:r>
      <w:proofErr w:type="gramEnd"/>
      <w:r w:rsidRPr="003D3CE8">
        <w:rPr>
          <w:color w:val="156082" w:themeColor="accent1"/>
        </w:rPr>
        <w:t xml:space="preserve"> the inhibitors use? Rationalize using what you know about the enzyme active site pocket and substrate binding (what do the inhibitors look like? </w:t>
      </w:r>
      <w:proofErr w:type="gramStart"/>
      <w:r w:rsidRPr="003D3CE8">
        <w:rPr>
          <w:color w:val="156082" w:themeColor="accent1"/>
        </w:rPr>
        <w:t>would</w:t>
      </w:r>
      <w:proofErr w:type="gramEnd"/>
      <w:r w:rsidRPr="003D3CE8">
        <w:rPr>
          <w:color w:val="156082" w:themeColor="accent1"/>
        </w:rPr>
        <w:t xml:space="preserve"> you expect they would or wouldn't bind to the active site? why/why not?) What errors occurred, what was the cause of these errors and what would you do differently. What do you conclude from your data?</w:t>
      </w:r>
    </w:p>
    <w:p w14:paraId="628370DE" w14:textId="77777777" w:rsidR="00141330" w:rsidRDefault="00141330" w:rsidP="003D3CE8">
      <w:pPr>
        <w:rPr>
          <w:color w:val="156082" w:themeColor="accent1"/>
        </w:rPr>
      </w:pPr>
    </w:p>
    <w:p w14:paraId="4992DC6A" w14:textId="2A73327A" w:rsidR="00141330" w:rsidRDefault="00141330" w:rsidP="00141330">
      <w:pPr>
        <w:pStyle w:val="Heading1"/>
        <w:rPr>
          <w:color w:val="auto"/>
        </w:rPr>
      </w:pPr>
      <w:r w:rsidRPr="00141330">
        <w:rPr>
          <w:color w:val="auto"/>
        </w:rPr>
        <w:t>Oxamate</w:t>
      </w:r>
      <w:r w:rsidR="00C2352E">
        <w:rPr>
          <w:color w:val="auto"/>
        </w:rPr>
        <w:t xml:space="preserve"> – Competitive</w:t>
      </w:r>
      <w:r w:rsidR="00FA72C8">
        <w:rPr>
          <w:color w:val="auto"/>
        </w:rPr>
        <w:t>/Mixed</w:t>
      </w:r>
      <w:r w:rsidR="00C2352E">
        <w:rPr>
          <w:color w:val="auto"/>
        </w:rPr>
        <w:t xml:space="preserve"> Inhibition</w:t>
      </w:r>
    </w:p>
    <w:p w14:paraId="4EC03A79" w14:textId="45F7E6FE" w:rsidR="00141330" w:rsidRPr="00141330" w:rsidRDefault="00141330" w:rsidP="00141330">
      <w:r>
        <w:rPr>
          <w:noProof/>
        </w:rPr>
        <w:drawing>
          <wp:inline distT="0" distB="0" distL="0" distR="0" wp14:anchorId="526569A7" wp14:editId="2007E6E8">
            <wp:extent cx="6634212" cy="3071495"/>
            <wp:effectExtent l="0" t="0" r="14605" b="14605"/>
            <wp:docPr id="333475779" name="Chart 1">
              <a:extLst xmlns:a="http://schemas.openxmlformats.org/drawingml/2006/main">
                <a:ext uri="{FF2B5EF4-FFF2-40B4-BE49-F238E27FC236}">
                  <a16:creationId xmlns:a16="http://schemas.microsoft.com/office/drawing/2014/main" id="{6C4A9A8E-BB21-4944-BBDB-DFBF3B5D4C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66A86EE" w14:textId="745E2467" w:rsidR="00141330" w:rsidRDefault="00141330" w:rsidP="00141330">
      <w:pPr>
        <w:rPr>
          <w:rStyle w:val="IntenseEmphasis"/>
          <w:i w:val="0"/>
          <w:iCs w:val="0"/>
          <w:color w:val="auto"/>
        </w:rPr>
      </w:pPr>
      <w:r w:rsidRPr="00141330">
        <w:rPr>
          <w:rStyle w:val="IntenseEmphasis"/>
          <w:color w:val="auto"/>
        </w:rPr>
        <w:t xml:space="preserve">Figure 1. </w:t>
      </w:r>
      <w:r w:rsidRPr="00141330">
        <w:rPr>
          <w:rStyle w:val="IntenseEmphasis"/>
          <w:i w:val="0"/>
          <w:iCs w:val="0"/>
          <w:color w:val="auto"/>
        </w:rPr>
        <w:t>Lineweaver-Burke plot of pyruvate with oxamate inhibitor</w:t>
      </w:r>
    </w:p>
    <w:p w14:paraId="68209FA2" w14:textId="65996EF7" w:rsidR="00C2352E" w:rsidRPr="00FA72C8" w:rsidRDefault="00C2352E" w:rsidP="00141330">
      <w:pPr>
        <w:rPr>
          <w:rStyle w:val="IntenseEmphasis"/>
          <w:i w:val="0"/>
          <w:iCs w:val="0"/>
          <w:color w:val="auto"/>
        </w:rPr>
      </w:pPr>
      <w:r>
        <w:rPr>
          <w:rStyle w:val="IntenseEmphasis"/>
          <w:i w:val="0"/>
          <w:iCs w:val="0"/>
          <w:color w:val="auto"/>
        </w:rPr>
        <w:t xml:space="preserve">Oxamate </w:t>
      </w:r>
      <w:r w:rsidR="00FA72C8">
        <w:rPr>
          <w:rStyle w:val="IntenseEmphasis"/>
          <w:i w:val="0"/>
          <w:iCs w:val="0"/>
          <w:color w:val="auto"/>
        </w:rPr>
        <w:t>affected both the K</w:t>
      </w:r>
      <w:r w:rsidR="00FA72C8">
        <w:rPr>
          <w:rStyle w:val="IntenseEmphasis"/>
          <w:i w:val="0"/>
          <w:iCs w:val="0"/>
          <w:color w:val="auto"/>
          <w:vertAlign w:val="subscript"/>
        </w:rPr>
        <w:t>m</w:t>
      </w:r>
      <w:r w:rsidR="00FA72C8">
        <w:rPr>
          <w:rStyle w:val="IntenseEmphasis"/>
          <w:i w:val="0"/>
          <w:iCs w:val="0"/>
          <w:color w:val="auto"/>
        </w:rPr>
        <w:t xml:space="preserve"> and the V</w:t>
      </w:r>
      <w:r w:rsidR="00FA72C8">
        <w:rPr>
          <w:rStyle w:val="IntenseEmphasis"/>
          <w:i w:val="0"/>
          <w:iCs w:val="0"/>
          <w:color w:val="auto"/>
          <w:vertAlign w:val="subscript"/>
        </w:rPr>
        <w:t xml:space="preserve">max </w:t>
      </w:r>
      <w:r w:rsidR="00FA72C8">
        <w:rPr>
          <w:rStyle w:val="IntenseEmphasis"/>
          <w:i w:val="0"/>
          <w:iCs w:val="0"/>
          <w:color w:val="auto"/>
        </w:rPr>
        <w:t>of the enzyme, which indicated mixed inhibition, however the differences in the V</w:t>
      </w:r>
      <w:r w:rsidR="00FA72C8">
        <w:rPr>
          <w:rStyle w:val="IntenseEmphasis"/>
          <w:i w:val="0"/>
          <w:iCs w:val="0"/>
          <w:color w:val="auto"/>
          <w:vertAlign w:val="subscript"/>
        </w:rPr>
        <w:t xml:space="preserve">max </w:t>
      </w:r>
      <w:r w:rsidR="00FA72C8">
        <w:rPr>
          <w:rStyle w:val="IntenseEmphasis"/>
          <w:i w:val="0"/>
          <w:iCs w:val="0"/>
          <w:color w:val="auto"/>
        </w:rPr>
        <w:t xml:space="preserve">may be due to experimental error as they are small which would make it competitive inhibition. </w:t>
      </w:r>
    </w:p>
    <w:p w14:paraId="16CD9210" w14:textId="7401F7E9" w:rsidR="00141330" w:rsidRDefault="00141330" w:rsidP="00141330">
      <w:pPr>
        <w:pStyle w:val="Heading1"/>
        <w:rPr>
          <w:color w:val="auto"/>
        </w:rPr>
      </w:pPr>
      <w:r w:rsidRPr="00141330">
        <w:rPr>
          <w:color w:val="auto"/>
        </w:rPr>
        <w:lastRenderedPageBreak/>
        <w:t>Oxalate</w:t>
      </w:r>
      <w:r w:rsidR="00C2352E">
        <w:rPr>
          <w:color w:val="auto"/>
        </w:rPr>
        <w:t xml:space="preserve"> – Mixed Inhibition</w:t>
      </w:r>
    </w:p>
    <w:p w14:paraId="1D6CA5A2" w14:textId="3A27E62D" w:rsidR="00141330" w:rsidRPr="00141330" w:rsidRDefault="00141330" w:rsidP="00141330">
      <w:r>
        <w:rPr>
          <w:noProof/>
        </w:rPr>
        <w:drawing>
          <wp:inline distT="0" distB="0" distL="0" distR="0" wp14:anchorId="27B61C39" wp14:editId="4F469848">
            <wp:extent cx="6600148" cy="3540591"/>
            <wp:effectExtent l="0" t="0" r="10795" b="3175"/>
            <wp:docPr id="805073561" name="Chart 1">
              <a:extLst xmlns:a="http://schemas.openxmlformats.org/drawingml/2006/main">
                <a:ext uri="{FF2B5EF4-FFF2-40B4-BE49-F238E27FC236}">
                  <a16:creationId xmlns:a16="http://schemas.microsoft.com/office/drawing/2014/main" id="{DDE3A94D-9464-FF44-3162-FE42041EEF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5135870C" w14:textId="26319855" w:rsidR="00141330" w:rsidRDefault="00141330" w:rsidP="00141330">
      <w:pPr>
        <w:rPr>
          <w:rStyle w:val="IntenseEmphasis"/>
          <w:i w:val="0"/>
          <w:iCs w:val="0"/>
          <w:color w:val="auto"/>
        </w:rPr>
      </w:pPr>
      <w:r w:rsidRPr="00141330">
        <w:rPr>
          <w:rStyle w:val="IntenseEmphasis"/>
          <w:color w:val="auto"/>
        </w:rPr>
        <w:t xml:space="preserve">Figure </w:t>
      </w:r>
      <w:r>
        <w:rPr>
          <w:rStyle w:val="IntenseEmphasis"/>
          <w:color w:val="auto"/>
        </w:rPr>
        <w:t>2</w:t>
      </w:r>
      <w:r w:rsidRPr="00141330">
        <w:rPr>
          <w:rStyle w:val="IntenseEmphasis"/>
          <w:color w:val="auto"/>
        </w:rPr>
        <w:t xml:space="preserve">. </w:t>
      </w:r>
      <w:r w:rsidRPr="00141330">
        <w:rPr>
          <w:rStyle w:val="IntenseEmphasis"/>
          <w:i w:val="0"/>
          <w:iCs w:val="0"/>
          <w:color w:val="auto"/>
        </w:rPr>
        <w:t>Lineweaver-Burke plot of pyruvate with oxa</w:t>
      </w:r>
      <w:r>
        <w:rPr>
          <w:rStyle w:val="IntenseEmphasis"/>
          <w:i w:val="0"/>
          <w:iCs w:val="0"/>
          <w:color w:val="auto"/>
        </w:rPr>
        <w:t>l</w:t>
      </w:r>
      <w:r w:rsidRPr="00141330">
        <w:rPr>
          <w:rStyle w:val="IntenseEmphasis"/>
          <w:i w:val="0"/>
          <w:iCs w:val="0"/>
          <w:color w:val="auto"/>
        </w:rPr>
        <w:t>ate inhibitor</w:t>
      </w:r>
      <w:r>
        <w:rPr>
          <w:rStyle w:val="IntenseEmphasis"/>
          <w:i w:val="0"/>
          <w:iCs w:val="0"/>
          <w:color w:val="auto"/>
        </w:rPr>
        <w:t xml:space="preserve">. </w:t>
      </w:r>
    </w:p>
    <w:p w14:paraId="4D87B4B6" w14:textId="3D3F39B2" w:rsidR="00FA72C8" w:rsidRDefault="00FA72C8" w:rsidP="00FA72C8">
      <w:pPr>
        <w:rPr>
          <w:rStyle w:val="IntenseEmphasis"/>
          <w:i w:val="0"/>
          <w:iCs w:val="0"/>
          <w:color w:val="auto"/>
        </w:rPr>
      </w:pPr>
      <w:r>
        <w:rPr>
          <w:rStyle w:val="IntenseEmphasis"/>
          <w:i w:val="0"/>
          <w:iCs w:val="0"/>
          <w:color w:val="auto"/>
        </w:rPr>
        <w:t>Ox</w:t>
      </w:r>
      <w:r>
        <w:rPr>
          <w:rStyle w:val="IntenseEmphasis"/>
          <w:i w:val="0"/>
          <w:iCs w:val="0"/>
          <w:color w:val="auto"/>
        </w:rPr>
        <w:t>al</w:t>
      </w:r>
      <w:r>
        <w:rPr>
          <w:rStyle w:val="IntenseEmphasis"/>
          <w:i w:val="0"/>
          <w:iCs w:val="0"/>
          <w:color w:val="auto"/>
        </w:rPr>
        <w:t>ate affected both the K</w:t>
      </w:r>
      <w:r>
        <w:rPr>
          <w:rStyle w:val="IntenseEmphasis"/>
          <w:i w:val="0"/>
          <w:iCs w:val="0"/>
          <w:color w:val="auto"/>
          <w:vertAlign w:val="subscript"/>
        </w:rPr>
        <w:t>m</w:t>
      </w:r>
      <w:r>
        <w:rPr>
          <w:rStyle w:val="IntenseEmphasis"/>
          <w:i w:val="0"/>
          <w:iCs w:val="0"/>
          <w:color w:val="auto"/>
        </w:rPr>
        <w:t xml:space="preserve"> and the V</w:t>
      </w:r>
      <w:r>
        <w:rPr>
          <w:rStyle w:val="IntenseEmphasis"/>
          <w:i w:val="0"/>
          <w:iCs w:val="0"/>
          <w:color w:val="auto"/>
          <w:vertAlign w:val="subscript"/>
        </w:rPr>
        <w:t xml:space="preserve">max </w:t>
      </w:r>
      <w:r>
        <w:rPr>
          <w:rStyle w:val="IntenseEmphasis"/>
          <w:i w:val="0"/>
          <w:iCs w:val="0"/>
          <w:color w:val="auto"/>
        </w:rPr>
        <w:t xml:space="preserve">of the enzyme </w:t>
      </w:r>
      <w:r>
        <w:rPr>
          <w:rStyle w:val="IntenseEmphasis"/>
          <w:i w:val="0"/>
          <w:iCs w:val="0"/>
          <w:color w:val="auto"/>
        </w:rPr>
        <w:t xml:space="preserve">at different rates which indicated mixed inhibition. </w:t>
      </w:r>
    </w:p>
    <w:p w14:paraId="32A00A05" w14:textId="77777777" w:rsidR="00706006" w:rsidRDefault="00706006" w:rsidP="00FA72C8">
      <w:pPr>
        <w:rPr>
          <w:rStyle w:val="IntenseEmphasis"/>
          <w:i w:val="0"/>
          <w:iCs w:val="0"/>
          <w:color w:val="auto"/>
        </w:rPr>
      </w:pPr>
    </w:p>
    <w:p w14:paraId="4EF9432C" w14:textId="5826A439" w:rsidR="00706006" w:rsidRDefault="00706006" w:rsidP="00FA72C8">
      <w:pPr>
        <w:rPr>
          <w:rStyle w:val="IntenseEmphasis"/>
          <w:i w:val="0"/>
          <w:iCs w:val="0"/>
          <w:color w:val="auto"/>
        </w:rPr>
      </w:pPr>
      <w:r>
        <w:rPr>
          <w:noProof/>
        </w:rPr>
        <w:drawing>
          <wp:inline distT="0" distB="0" distL="0" distR="0" wp14:anchorId="5D76F399" wp14:editId="52420B10">
            <wp:extent cx="3466919" cy="1478997"/>
            <wp:effectExtent l="0" t="0" r="635" b="6985"/>
            <wp:docPr id="198358023" name="Picture 1" descr="A structure of oxam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8023" name="Picture 1" descr="A structure of oxamat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482203" cy="1485517"/>
                    </a:xfrm>
                    <a:prstGeom prst="rect">
                      <a:avLst/>
                    </a:prstGeom>
                  </pic:spPr>
                </pic:pic>
              </a:graphicData>
            </a:graphic>
          </wp:inline>
        </w:drawing>
      </w:r>
    </w:p>
    <w:p w14:paraId="399DB065" w14:textId="6FB9204C" w:rsidR="00706006" w:rsidRDefault="00706006" w:rsidP="00706006">
      <w:pPr>
        <w:rPr>
          <w:rStyle w:val="IntenseEmphasis"/>
          <w:i w:val="0"/>
          <w:iCs w:val="0"/>
          <w:color w:val="auto"/>
        </w:rPr>
      </w:pPr>
      <w:r w:rsidRPr="00141330">
        <w:rPr>
          <w:rStyle w:val="IntenseEmphasis"/>
          <w:color w:val="auto"/>
        </w:rPr>
        <w:t xml:space="preserve">Figure </w:t>
      </w:r>
      <w:r>
        <w:rPr>
          <w:rStyle w:val="IntenseEmphasis"/>
          <w:color w:val="auto"/>
        </w:rPr>
        <w:t>3</w:t>
      </w:r>
      <w:r w:rsidRPr="00141330">
        <w:rPr>
          <w:rStyle w:val="IntenseEmphasis"/>
          <w:color w:val="auto"/>
        </w:rPr>
        <w:t>.</w:t>
      </w:r>
      <w:r>
        <w:rPr>
          <w:rStyle w:val="IntenseEmphasis"/>
          <w:color w:val="auto"/>
        </w:rPr>
        <w:t xml:space="preserve"> </w:t>
      </w:r>
      <w:r>
        <w:rPr>
          <w:rStyle w:val="IntenseEmphasis"/>
          <w:i w:val="0"/>
          <w:iCs w:val="0"/>
          <w:color w:val="auto"/>
        </w:rPr>
        <w:t>Chemical structure of pyruvate, oxamate, and oxalate</w:t>
      </w:r>
    </w:p>
    <w:p w14:paraId="57498D95" w14:textId="77777777" w:rsidR="00706006" w:rsidRDefault="00706006" w:rsidP="00706006">
      <w:pPr>
        <w:rPr>
          <w:rStyle w:val="IntenseEmphasis"/>
          <w:i w:val="0"/>
          <w:iCs w:val="0"/>
          <w:color w:val="auto"/>
        </w:rPr>
      </w:pPr>
    </w:p>
    <w:p w14:paraId="4214468B" w14:textId="3E0064D8" w:rsidR="00706006" w:rsidRDefault="00706006" w:rsidP="00FA72C8">
      <w:pPr>
        <w:rPr>
          <w:rStyle w:val="IntenseEmphasis"/>
          <w:i w:val="0"/>
          <w:iCs w:val="0"/>
          <w:color w:val="auto"/>
        </w:rPr>
      </w:pPr>
      <w:r>
        <w:rPr>
          <w:rStyle w:val="IntenseEmphasis"/>
          <w:i w:val="0"/>
          <w:iCs w:val="0"/>
          <w:color w:val="auto"/>
        </w:rPr>
        <w:t xml:space="preserve">Both oxamate and oxalate have a very similar structure to the substrate, pyruvate, so </w:t>
      </w:r>
      <w:proofErr w:type="gramStart"/>
      <w:r>
        <w:rPr>
          <w:rStyle w:val="IntenseEmphasis"/>
          <w:i w:val="0"/>
          <w:iCs w:val="0"/>
          <w:color w:val="auto"/>
        </w:rPr>
        <w:t>both of the could</w:t>
      </w:r>
      <w:proofErr w:type="gramEnd"/>
      <w:r>
        <w:rPr>
          <w:rStyle w:val="IntenseEmphasis"/>
          <w:i w:val="0"/>
          <w:iCs w:val="0"/>
          <w:color w:val="auto"/>
        </w:rPr>
        <w:t xml:space="preserve"> be acting as substrate analogs that can bind to the free enzyme, which would </w:t>
      </w:r>
      <w:r>
        <w:rPr>
          <w:rStyle w:val="IntenseEmphasis"/>
          <w:i w:val="0"/>
          <w:iCs w:val="0"/>
          <w:color w:val="auto"/>
        </w:rPr>
        <w:lastRenderedPageBreak/>
        <w:t xml:space="preserve">lead to competitive inhibition, and the enzyme substrate complex, which would lead to mixed inhibition. </w:t>
      </w:r>
    </w:p>
    <w:p w14:paraId="64E8AED3" w14:textId="4584DEC6" w:rsidR="00FA72C8" w:rsidRDefault="00435D68" w:rsidP="00141330">
      <w:pPr>
        <w:rPr>
          <w:rStyle w:val="IntenseEmphasis"/>
          <w:i w:val="0"/>
          <w:iCs w:val="0"/>
          <w:color w:val="auto"/>
        </w:rPr>
      </w:pPr>
      <w:r>
        <w:rPr>
          <w:rStyle w:val="IntenseEmphasis"/>
          <w:i w:val="0"/>
          <w:iCs w:val="0"/>
          <w:color w:val="auto"/>
        </w:rPr>
        <w:t xml:space="preserve">There were many errors that could have caused problems. A key error was the function of the pipettes, the pipettes were not always </w:t>
      </w:r>
      <w:proofErr w:type="gramStart"/>
      <w:r>
        <w:rPr>
          <w:rStyle w:val="IntenseEmphasis"/>
          <w:i w:val="0"/>
          <w:iCs w:val="0"/>
          <w:color w:val="auto"/>
        </w:rPr>
        <w:t>functional</w:t>
      </w:r>
      <w:proofErr w:type="gramEnd"/>
      <w:r>
        <w:rPr>
          <w:rStyle w:val="IntenseEmphasis"/>
          <w:i w:val="0"/>
          <w:iCs w:val="0"/>
          <w:color w:val="auto"/>
        </w:rPr>
        <w:t xml:space="preserve"> and the same pipettes were not always used for measurements. If the experiment were to be repeated, then the pipettes should be calibrated beforehand, and we would use the same pipettes for each measurement to ensure consistency even if the exact measurement is off. It would also be better to do both </w:t>
      </w:r>
      <w:proofErr w:type="gramStart"/>
      <w:r>
        <w:rPr>
          <w:rStyle w:val="IntenseEmphasis"/>
          <w:i w:val="0"/>
          <w:iCs w:val="0"/>
          <w:color w:val="auto"/>
        </w:rPr>
        <w:t>inhibitors</w:t>
      </w:r>
      <w:proofErr w:type="gramEnd"/>
      <w:r>
        <w:rPr>
          <w:rStyle w:val="IntenseEmphasis"/>
          <w:i w:val="0"/>
          <w:iCs w:val="0"/>
          <w:color w:val="auto"/>
        </w:rPr>
        <w:t xml:space="preserve"> on the same day to make sure that the pyruvate, NAHD, and LDH solutions are the same. It was good to figure out the kinetics of the enzyme </w:t>
      </w:r>
      <w:proofErr w:type="gramStart"/>
      <w:r>
        <w:rPr>
          <w:rStyle w:val="IntenseEmphasis"/>
          <w:i w:val="0"/>
          <w:iCs w:val="0"/>
          <w:color w:val="auto"/>
        </w:rPr>
        <w:t>before hand</w:t>
      </w:r>
      <w:proofErr w:type="gramEnd"/>
      <w:r>
        <w:rPr>
          <w:rStyle w:val="IntenseEmphasis"/>
          <w:i w:val="0"/>
          <w:iCs w:val="0"/>
          <w:color w:val="auto"/>
        </w:rPr>
        <w:t xml:space="preserve"> but with improved </w:t>
      </w:r>
      <w:proofErr w:type="gramStart"/>
      <w:r>
        <w:rPr>
          <w:rStyle w:val="IntenseEmphasis"/>
          <w:i w:val="0"/>
          <w:iCs w:val="0"/>
          <w:color w:val="auto"/>
        </w:rPr>
        <w:t>understanding of the goal</w:t>
      </w:r>
      <w:proofErr w:type="gramEnd"/>
      <w:r>
        <w:rPr>
          <w:rStyle w:val="IntenseEmphasis"/>
          <w:i w:val="0"/>
          <w:iCs w:val="0"/>
          <w:color w:val="auto"/>
        </w:rPr>
        <w:t xml:space="preserve"> of the lab, both inhibitors could be done on the same day. </w:t>
      </w:r>
    </w:p>
    <w:p w14:paraId="44CA96D0" w14:textId="29453967" w:rsidR="00B34CB0" w:rsidRPr="00B34CB0" w:rsidRDefault="00706006" w:rsidP="00141330">
      <w:pPr>
        <w:rPr>
          <w:rStyle w:val="IntenseEmphasis"/>
          <w:i w:val="0"/>
          <w:iCs w:val="0"/>
          <w:color w:val="auto"/>
        </w:rPr>
      </w:pPr>
      <w:r>
        <w:rPr>
          <w:rStyle w:val="IntenseEmphasis"/>
          <w:i w:val="0"/>
          <w:iCs w:val="0"/>
          <w:color w:val="auto"/>
        </w:rPr>
        <w:t xml:space="preserve">From our data, we can conclude that oxalate and oxamate are inhibiting the enzyme function. It is hard to say which type of inhibition each inhibitor displayed due to other possible errors with the experiment. α/α’ values for inhibition are also unclear as they </w:t>
      </w:r>
      <w:r w:rsidR="00B34CB0">
        <w:rPr>
          <w:rStyle w:val="IntenseEmphasis"/>
          <w:i w:val="0"/>
          <w:iCs w:val="0"/>
          <w:color w:val="auto"/>
        </w:rPr>
        <w:t xml:space="preserve">widely varied within the Lineweaver-Burke’s of each inhibitor. </w:t>
      </w:r>
    </w:p>
    <w:p w14:paraId="7FDF8102" w14:textId="0EC4A6F2" w:rsidR="00B34CB0" w:rsidRPr="00B34CB0" w:rsidRDefault="00B34CB0" w:rsidP="00141330">
      <w:pPr>
        <w:rPr>
          <w:rStyle w:val="IntenseEmphasis"/>
          <w:i w:val="0"/>
          <w:iCs w:val="0"/>
          <w:color w:val="auto"/>
        </w:rPr>
      </w:pPr>
      <w:r>
        <w:rPr>
          <w:rStyle w:val="IntenseEmphasis"/>
          <w:color w:val="auto"/>
        </w:rPr>
        <w:t xml:space="preserve">Table 1. </w:t>
      </w:r>
      <w:r>
        <w:rPr>
          <w:rStyle w:val="IntenseEmphasis"/>
          <w:i w:val="0"/>
          <w:iCs w:val="0"/>
          <w:color w:val="auto"/>
        </w:rPr>
        <w:t xml:space="preserve">α and α’ values of oxalate and oxamate inhibitors. </w:t>
      </w:r>
    </w:p>
    <w:tbl>
      <w:tblPr>
        <w:tblW w:w="3704" w:type="dxa"/>
        <w:tblLook w:val="04A0" w:firstRow="1" w:lastRow="0" w:firstColumn="1" w:lastColumn="0" w:noHBand="0" w:noVBand="1"/>
      </w:tblPr>
      <w:tblGrid>
        <w:gridCol w:w="1878"/>
        <w:gridCol w:w="939"/>
        <w:gridCol w:w="887"/>
      </w:tblGrid>
      <w:tr w:rsidR="00B34CB0" w:rsidRPr="00B34CB0" w14:paraId="677C6853" w14:textId="77777777" w:rsidTr="00B34CB0">
        <w:trPr>
          <w:trHeight w:val="278"/>
        </w:trPr>
        <w:tc>
          <w:tcPr>
            <w:tcW w:w="1878" w:type="dxa"/>
            <w:tcBorders>
              <w:top w:val="single" w:sz="4" w:space="0" w:color="auto"/>
              <w:left w:val="single" w:sz="4" w:space="0" w:color="auto"/>
              <w:bottom w:val="single" w:sz="4" w:space="0" w:color="auto"/>
              <w:right w:val="single" w:sz="4" w:space="0" w:color="auto"/>
            </w:tcBorders>
            <w:shd w:val="clear" w:color="000000" w:fill="94DCF8"/>
            <w:noWrap/>
            <w:vAlign w:val="bottom"/>
            <w:hideMark/>
          </w:tcPr>
          <w:p w14:paraId="115739F2" w14:textId="77777777" w:rsidR="00B34CB0" w:rsidRPr="00B34CB0" w:rsidRDefault="00B34CB0" w:rsidP="00B34CB0">
            <w:pPr>
              <w:spacing w:after="0" w:line="240" w:lineRule="auto"/>
              <w:rPr>
                <w:rFonts w:ascii="Aptos Narrow" w:eastAsia="Times New Roman" w:hAnsi="Aptos Narrow" w:cs="Times New Roman"/>
                <w:color w:val="000000"/>
                <w:kern w:val="0"/>
                <w14:ligatures w14:val="none"/>
              </w:rPr>
            </w:pPr>
            <w:r w:rsidRPr="00B34CB0">
              <w:rPr>
                <w:rFonts w:ascii="Aptos Narrow" w:eastAsia="Times New Roman" w:hAnsi="Aptos Narrow" w:cs="Times New Roman"/>
                <w:color w:val="000000"/>
                <w:kern w:val="0"/>
                <w14:ligatures w14:val="none"/>
              </w:rPr>
              <w:t> </w:t>
            </w:r>
          </w:p>
          <w:p w14:paraId="46F00F66" w14:textId="35AE3679" w:rsidR="00B34CB0" w:rsidRPr="00B34CB0" w:rsidRDefault="00B34CB0" w:rsidP="00B34CB0">
            <w:pPr>
              <w:spacing w:after="0" w:line="240" w:lineRule="auto"/>
              <w:rPr>
                <w:rFonts w:ascii="Aptos Narrow" w:eastAsia="Times New Roman" w:hAnsi="Aptos Narrow" w:cs="Times New Roman"/>
                <w:color w:val="000000"/>
                <w:kern w:val="0"/>
                <w14:ligatures w14:val="none"/>
              </w:rPr>
            </w:pPr>
            <w:r w:rsidRPr="00B34CB0">
              <w:rPr>
                <w:rFonts w:ascii="Aptos Narrow" w:eastAsia="Times New Roman" w:hAnsi="Aptos Narrow" w:cs="Times New Roman"/>
                <w:color w:val="000000"/>
                <w:kern w:val="0"/>
                <w14:ligatures w14:val="none"/>
              </w:rPr>
              <w:t> </w:t>
            </w:r>
            <w:r>
              <w:rPr>
                <w:rFonts w:ascii="Aptos Narrow" w:eastAsia="Times New Roman" w:hAnsi="Aptos Narrow" w:cs="Times New Roman"/>
                <w:color w:val="000000"/>
                <w:kern w:val="0"/>
                <w14:ligatures w14:val="none"/>
              </w:rPr>
              <w:t>Oxalate</w:t>
            </w:r>
          </w:p>
        </w:tc>
        <w:tc>
          <w:tcPr>
            <w:tcW w:w="939" w:type="dxa"/>
            <w:tcBorders>
              <w:top w:val="single" w:sz="4" w:space="0" w:color="auto"/>
              <w:left w:val="nil"/>
              <w:bottom w:val="single" w:sz="4" w:space="0" w:color="auto"/>
              <w:right w:val="single" w:sz="4" w:space="0" w:color="auto"/>
            </w:tcBorders>
            <w:shd w:val="clear" w:color="000000" w:fill="94DCF8"/>
            <w:noWrap/>
            <w:vAlign w:val="bottom"/>
            <w:hideMark/>
          </w:tcPr>
          <w:p w14:paraId="028B8710" w14:textId="77777777" w:rsidR="00B34CB0" w:rsidRPr="00B34CB0" w:rsidRDefault="00B34CB0" w:rsidP="00B34CB0">
            <w:pPr>
              <w:spacing w:after="0" w:line="240" w:lineRule="auto"/>
              <w:jc w:val="center"/>
              <w:rPr>
                <w:rFonts w:ascii="Arial" w:eastAsia="Times New Roman" w:hAnsi="Arial" w:cs="Arial"/>
                <w:color w:val="1F1F1F"/>
                <w:kern w:val="0"/>
                <w14:ligatures w14:val="none"/>
              </w:rPr>
            </w:pPr>
            <w:r w:rsidRPr="00B34CB0">
              <w:rPr>
                <w:rFonts w:ascii="Arial" w:eastAsia="Times New Roman" w:hAnsi="Arial" w:cs="Arial"/>
                <w:color w:val="1F1F1F"/>
                <w:kern w:val="0"/>
                <w14:ligatures w14:val="none"/>
              </w:rPr>
              <w:t>α</w:t>
            </w:r>
          </w:p>
        </w:tc>
        <w:tc>
          <w:tcPr>
            <w:tcW w:w="887" w:type="dxa"/>
            <w:tcBorders>
              <w:top w:val="single" w:sz="4" w:space="0" w:color="auto"/>
              <w:left w:val="nil"/>
              <w:bottom w:val="single" w:sz="4" w:space="0" w:color="auto"/>
              <w:right w:val="single" w:sz="4" w:space="0" w:color="auto"/>
            </w:tcBorders>
            <w:shd w:val="clear" w:color="000000" w:fill="94DCF8"/>
            <w:noWrap/>
            <w:vAlign w:val="bottom"/>
            <w:hideMark/>
          </w:tcPr>
          <w:p w14:paraId="3DC91D78" w14:textId="77777777" w:rsidR="00B34CB0" w:rsidRPr="00B34CB0" w:rsidRDefault="00B34CB0" w:rsidP="00B34CB0">
            <w:pPr>
              <w:spacing w:after="0" w:line="240" w:lineRule="auto"/>
              <w:jc w:val="center"/>
              <w:rPr>
                <w:rFonts w:ascii="Arial" w:eastAsia="Times New Roman" w:hAnsi="Arial" w:cs="Arial"/>
                <w:color w:val="001D35"/>
                <w:kern w:val="0"/>
                <w14:ligatures w14:val="none"/>
              </w:rPr>
            </w:pPr>
            <w:r w:rsidRPr="00B34CB0">
              <w:rPr>
                <w:rFonts w:ascii="Arial" w:eastAsia="Times New Roman" w:hAnsi="Arial" w:cs="Arial"/>
                <w:color w:val="001D35"/>
                <w:kern w:val="0"/>
                <w14:ligatures w14:val="none"/>
              </w:rPr>
              <w:t>α′</w:t>
            </w:r>
          </w:p>
        </w:tc>
      </w:tr>
      <w:tr w:rsidR="00B34CB0" w:rsidRPr="00B34CB0" w14:paraId="73AF4B46" w14:textId="77777777" w:rsidTr="00B34CB0">
        <w:trPr>
          <w:trHeight w:val="278"/>
        </w:trPr>
        <w:tc>
          <w:tcPr>
            <w:tcW w:w="1878" w:type="dxa"/>
            <w:tcBorders>
              <w:top w:val="single" w:sz="4" w:space="0" w:color="auto"/>
              <w:left w:val="single" w:sz="4" w:space="0" w:color="auto"/>
              <w:bottom w:val="single" w:sz="4" w:space="0" w:color="auto"/>
              <w:right w:val="single" w:sz="4" w:space="0" w:color="auto"/>
            </w:tcBorders>
            <w:shd w:val="clear" w:color="000000" w:fill="F2CEEF"/>
            <w:noWrap/>
            <w:vAlign w:val="bottom"/>
            <w:hideMark/>
          </w:tcPr>
          <w:p w14:paraId="2ABB1FEE" w14:textId="77777777" w:rsidR="00B34CB0" w:rsidRPr="00B34CB0" w:rsidRDefault="00B34CB0" w:rsidP="00B34CB0">
            <w:pPr>
              <w:spacing w:after="0" w:line="240" w:lineRule="auto"/>
              <w:jc w:val="center"/>
              <w:rPr>
                <w:rFonts w:ascii="Aptos Narrow" w:eastAsia="Times New Roman" w:hAnsi="Aptos Narrow" w:cs="Times New Roman"/>
                <w:b/>
                <w:bCs/>
                <w:color w:val="000000"/>
                <w:kern w:val="0"/>
                <w14:ligatures w14:val="none"/>
              </w:rPr>
            </w:pPr>
            <w:r w:rsidRPr="00B34CB0">
              <w:rPr>
                <w:rFonts w:ascii="Aptos Narrow" w:eastAsia="Times New Roman" w:hAnsi="Aptos Narrow" w:cs="Times New Roman"/>
                <w:b/>
                <w:bCs/>
                <w:color w:val="000000"/>
                <w:kern w:val="0"/>
                <w14:ligatures w14:val="none"/>
              </w:rPr>
              <w:t>LDH - 0.5 I</w:t>
            </w:r>
          </w:p>
        </w:tc>
        <w:tc>
          <w:tcPr>
            <w:tcW w:w="939" w:type="dxa"/>
            <w:tcBorders>
              <w:top w:val="nil"/>
              <w:left w:val="nil"/>
              <w:bottom w:val="single" w:sz="4" w:space="0" w:color="auto"/>
              <w:right w:val="single" w:sz="4" w:space="0" w:color="auto"/>
            </w:tcBorders>
            <w:noWrap/>
            <w:vAlign w:val="bottom"/>
            <w:hideMark/>
          </w:tcPr>
          <w:p w14:paraId="67C4B6E3" w14:textId="77777777" w:rsidR="00B34CB0" w:rsidRPr="00B34CB0" w:rsidRDefault="00B34CB0" w:rsidP="00B34CB0">
            <w:pPr>
              <w:spacing w:after="0" w:line="240" w:lineRule="auto"/>
              <w:jc w:val="center"/>
              <w:rPr>
                <w:rFonts w:ascii="Aptos Narrow" w:eastAsia="Times New Roman" w:hAnsi="Aptos Narrow" w:cs="Times New Roman"/>
                <w:color w:val="000000"/>
                <w:kern w:val="0"/>
                <w14:ligatures w14:val="none"/>
              </w:rPr>
            </w:pPr>
            <w:r w:rsidRPr="00B34CB0">
              <w:rPr>
                <w:rFonts w:ascii="Aptos Narrow" w:eastAsia="Times New Roman" w:hAnsi="Aptos Narrow" w:cs="Times New Roman"/>
                <w:color w:val="000000"/>
                <w:kern w:val="0"/>
                <w14:ligatures w14:val="none"/>
              </w:rPr>
              <w:t>4.885</w:t>
            </w:r>
          </w:p>
        </w:tc>
        <w:tc>
          <w:tcPr>
            <w:tcW w:w="887" w:type="dxa"/>
            <w:tcBorders>
              <w:top w:val="nil"/>
              <w:left w:val="nil"/>
              <w:bottom w:val="single" w:sz="4" w:space="0" w:color="auto"/>
              <w:right w:val="single" w:sz="4" w:space="0" w:color="auto"/>
            </w:tcBorders>
            <w:noWrap/>
            <w:vAlign w:val="bottom"/>
            <w:hideMark/>
          </w:tcPr>
          <w:p w14:paraId="00A922F9" w14:textId="77777777" w:rsidR="00B34CB0" w:rsidRPr="00B34CB0" w:rsidRDefault="00B34CB0" w:rsidP="00B34CB0">
            <w:pPr>
              <w:spacing w:after="0" w:line="240" w:lineRule="auto"/>
              <w:jc w:val="center"/>
              <w:rPr>
                <w:rFonts w:ascii="Aptos Narrow" w:eastAsia="Times New Roman" w:hAnsi="Aptos Narrow" w:cs="Times New Roman"/>
                <w:color w:val="000000"/>
                <w:kern w:val="0"/>
                <w14:ligatures w14:val="none"/>
              </w:rPr>
            </w:pPr>
            <w:r w:rsidRPr="00B34CB0">
              <w:rPr>
                <w:rFonts w:ascii="Aptos Narrow" w:eastAsia="Times New Roman" w:hAnsi="Aptos Narrow" w:cs="Times New Roman"/>
                <w:color w:val="000000"/>
                <w:kern w:val="0"/>
                <w14:ligatures w14:val="none"/>
              </w:rPr>
              <w:t>5.709</w:t>
            </w:r>
          </w:p>
        </w:tc>
      </w:tr>
      <w:tr w:rsidR="00B34CB0" w:rsidRPr="00B34CB0" w14:paraId="10DBC9FF" w14:textId="77777777" w:rsidTr="00B34CB0">
        <w:trPr>
          <w:trHeight w:val="278"/>
        </w:trPr>
        <w:tc>
          <w:tcPr>
            <w:tcW w:w="1878" w:type="dxa"/>
            <w:tcBorders>
              <w:top w:val="single" w:sz="4" w:space="0" w:color="auto"/>
              <w:left w:val="single" w:sz="4" w:space="0" w:color="auto"/>
              <w:bottom w:val="single" w:sz="4" w:space="0" w:color="auto"/>
              <w:right w:val="single" w:sz="4" w:space="0" w:color="auto"/>
            </w:tcBorders>
            <w:shd w:val="clear" w:color="000000" w:fill="F2CEEF"/>
            <w:noWrap/>
            <w:vAlign w:val="bottom"/>
            <w:hideMark/>
          </w:tcPr>
          <w:p w14:paraId="26E7ABB4" w14:textId="77777777" w:rsidR="00B34CB0" w:rsidRPr="00B34CB0" w:rsidRDefault="00B34CB0" w:rsidP="00B34CB0">
            <w:pPr>
              <w:spacing w:after="0" w:line="240" w:lineRule="auto"/>
              <w:jc w:val="center"/>
              <w:rPr>
                <w:rFonts w:ascii="Aptos Narrow" w:eastAsia="Times New Roman" w:hAnsi="Aptos Narrow" w:cs="Times New Roman"/>
                <w:b/>
                <w:bCs/>
                <w:color w:val="000000"/>
                <w:kern w:val="0"/>
                <w14:ligatures w14:val="none"/>
              </w:rPr>
            </w:pPr>
            <w:r w:rsidRPr="00B34CB0">
              <w:rPr>
                <w:rFonts w:ascii="Aptos Narrow" w:eastAsia="Times New Roman" w:hAnsi="Aptos Narrow" w:cs="Times New Roman"/>
                <w:b/>
                <w:bCs/>
                <w:color w:val="000000"/>
                <w:kern w:val="0"/>
                <w14:ligatures w14:val="none"/>
              </w:rPr>
              <w:t>LDH - 0.3 I</w:t>
            </w:r>
          </w:p>
        </w:tc>
        <w:tc>
          <w:tcPr>
            <w:tcW w:w="939" w:type="dxa"/>
            <w:tcBorders>
              <w:top w:val="nil"/>
              <w:left w:val="nil"/>
              <w:bottom w:val="single" w:sz="4" w:space="0" w:color="auto"/>
              <w:right w:val="single" w:sz="4" w:space="0" w:color="auto"/>
            </w:tcBorders>
            <w:noWrap/>
            <w:vAlign w:val="bottom"/>
            <w:hideMark/>
          </w:tcPr>
          <w:p w14:paraId="20B2CD5E" w14:textId="77777777" w:rsidR="00B34CB0" w:rsidRPr="00B34CB0" w:rsidRDefault="00B34CB0" w:rsidP="00B34CB0">
            <w:pPr>
              <w:spacing w:after="0" w:line="240" w:lineRule="auto"/>
              <w:jc w:val="center"/>
              <w:rPr>
                <w:rFonts w:ascii="Aptos Narrow" w:eastAsia="Times New Roman" w:hAnsi="Aptos Narrow" w:cs="Times New Roman"/>
                <w:color w:val="000000"/>
                <w:kern w:val="0"/>
                <w14:ligatures w14:val="none"/>
              </w:rPr>
            </w:pPr>
            <w:r w:rsidRPr="00B34CB0">
              <w:rPr>
                <w:rFonts w:ascii="Aptos Narrow" w:eastAsia="Times New Roman" w:hAnsi="Aptos Narrow" w:cs="Times New Roman"/>
                <w:color w:val="000000"/>
                <w:kern w:val="0"/>
                <w14:ligatures w14:val="none"/>
              </w:rPr>
              <w:t>1.089</w:t>
            </w:r>
          </w:p>
        </w:tc>
        <w:tc>
          <w:tcPr>
            <w:tcW w:w="887" w:type="dxa"/>
            <w:tcBorders>
              <w:top w:val="nil"/>
              <w:left w:val="nil"/>
              <w:bottom w:val="single" w:sz="4" w:space="0" w:color="auto"/>
              <w:right w:val="single" w:sz="4" w:space="0" w:color="auto"/>
            </w:tcBorders>
            <w:noWrap/>
            <w:vAlign w:val="bottom"/>
            <w:hideMark/>
          </w:tcPr>
          <w:p w14:paraId="067D52BD" w14:textId="77777777" w:rsidR="00B34CB0" w:rsidRPr="00B34CB0" w:rsidRDefault="00B34CB0" w:rsidP="00B34CB0">
            <w:pPr>
              <w:spacing w:after="0" w:line="240" w:lineRule="auto"/>
              <w:jc w:val="center"/>
              <w:rPr>
                <w:rFonts w:ascii="Aptos Narrow" w:eastAsia="Times New Roman" w:hAnsi="Aptos Narrow" w:cs="Times New Roman"/>
                <w:color w:val="000000"/>
                <w:kern w:val="0"/>
                <w14:ligatures w14:val="none"/>
              </w:rPr>
            </w:pPr>
            <w:r w:rsidRPr="00B34CB0">
              <w:rPr>
                <w:rFonts w:ascii="Aptos Narrow" w:eastAsia="Times New Roman" w:hAnsi="Aptos Narrow" w:cs="Times New Roman"/>
                <w:color w:val="000000"/>
                <w:kern w:val="0"/>
                <w14:ligatures w14:val="none"/>
              </w:rPr>
              <w:t>28.882</w:t>
            </w:r>
          </w:p>
        </w:tc>
      </w:tr>
      <w:tr w:rsidR="00B34CB0" w:rsidRPr="00B34CB0" w14:paraId="12E25405" w14:textId="77777777" w:rsidTr="00B34CB0">
        <w:trPr>
          <w:trHeight w:val="278"/>
        </w:trPr>
        <w:tc>
          <w:tcPr>
            <w:tcW w:w="1878" w:type="dxa"/>
            <w:tcBorders>
              <w:top w:val="single" w:sz="4" w:space="0" w:color="auto"/>
              <w:left w:val="single" w:sz="4" w:space="0" w:color="auto"/>
              <w:bottom w:val="single" w:sz="4" w:space="0" w:color="auto"/>
              <w:right w:val="single" w:sz="4" w:space="0" w:color="auto"/>
            </w:tcBorders>
            <w:shd w:val="clear" w:color="000000" w:fill="F2CEEF"/>
            <w:noWrap/>
            <w:vAlign w:val="bottom"/>
            <w:hideMark/>
          </w:tcPr>
          <w:p w14:paraId="5AE0EAFD" w14:textId="77777777" w:rsidR="00B34CB0" w:rsidRPr="00B34CB0" w:rsidRDefault="00B34CB0" w:rsidP="00B34CB0">
            <w:pPr>
              <w:spacing w:after="0" w:line="240" w:lineRule="auto"/>
              <w:jc w:val="center"/>
              <w:rPr>
                <w:rFonts w:ascii="Aptos Narrow" w:eastAsia="Times New Roman" w:hAnsi="Aptos Narrow" w:cs="Times New Roman"/>
                <w:b/>
                <w:bCs/>
                <w:color w:val="000000"/>
                <w:kern w:val="0"/>
                <w14:ligatures w14:val="none"/>
              </w:rPr>
            </w:pPr>
            <w:r w:rsidRPr="00B34CB0">
              <w:rPr>
                <w:rFonts w:ascii="Aptos Narrow" w:eastAsia="Times New Roman" w:hAnsi="Aptos Narrow" w:cs="Times New Roman"/>
                <w:b/>
                <w:bCs/>
                <w:color w:val="000000"/>
                <w:kern w:val="0"/>
                <w14:ligatures w14:val="none"/>
              </w:rPr>
              <w:t>LDH - 0.1 I</w:t>
            </w:r>
          </w:p>
        </w:tc>
        <w:tc>
          <w:tcPr>
            <w:tcW w:w="939" w:type="dxa"/>
            <w:tcBorders>
              <w:top w:val="nil"/>
              <w:left w:val="nil"/>
              <w:bottom w:val="single" w:sz="4" w:space="0" w:color="auto"/>
              <w:right w:val="single" w:sz="4" w:space="0" w:color="auto"/>
            </w:tcBorders>
            <w:noWrap/>
            <w:vAlign w:val="bottom"/>
            <w:hideMark/>
          </w:tcPr>
          <w:p w14:paraId="01A3E453" w14:textId="77777777" w:rsidR="00B34CB0" w:rsidRPr="00B34CB0" w:rsidRDefault="00B34CB0" w:rsidP="00B34CB0">
            <w:pPr>
              <w:spacing w:after="0" w:line="240" w:lineRule="auto"/>
              <w:jc w:val="center"/>
              <w:rPr>
                <w:rFonts w:ascii="Aptos Narrow" w:eastAsia="Times New Roman" w:hAnsi="Aptos Narrow" w:cs="Times New Roman"/>
                <w:color w:val="000000"/>
                <w:kern w:val="0"/>
                <w14:ligatures w14:val="none"/>
              </w:rPr>
            </w:pPr>
            <w:r w:rsidRPr="00B34CB0">
              <w:rPr>
                <w:rFonts w:ascii="Aptos Narrow" w:eastAsia="Times New Roman" w:hAnsi="Aptos Narrow" w:cs="Times New Roman"/>
                <w:color w:val="000000"/>
                <w:kern w:val="0"/>
                <w14:ligatures w14:val="none"/>
              </w:rPr>
              <w:t>0.942</w:t>
            </w:r>
          </w:p>
        </w:tc>
        <w:tc>
          <w:tcPr>
            <w:tcW w:w="887" w:type="dxa"/>
            <w:tcBorders>
              <w:top w:val="nil"/>
              <w:left w:val="nil"/>
              <w:bottom w:val="single" w:sz="4" w:space="0" w:color="auto"/>
              <w:right w:val="single" w:sz="4" w:space="0" w:color="auto"/>
            </w:tcBorders>
            <w:noWrap/>
            <w:vAlign w:val="bottom"/>
            <w:hideMark/>
          </w:tcPr>
          <w:p w14:paraId="077AF3A9" w14:textId="77777777" w:rsidR="00B34CB0" w:rsidRPr="00B34CB0" w:rsidRDefault="00B34CB0" w:rsidP="00B34CB0">
            <w:pPr>
              <w:spacing w:after="0" w:line="240" w:lineRule="auto"/>
              <w:jc w:val="center"/>
              <w:rPr>
                <w:rFonts w:ascii="Aptos Narrow" w:eastAsia="Times New Roman" w:hAnsi="Aptos Narrow" w:cs="Times New Roman"/>
                <w:color w:val="000000"/>
                <w:kern w:val="0"/>
                <w14:ligatures w14:val="none"/>
              </w:rPr>
            </w:pPr>
            <w:r w:rsidRPr="00B34CB0">
              <w:rPr>
                <w:rFonts w:ascii="Aptos Narrow" w:eastAsia="Times New Roman" w:hAnsi="Aptos Narrow" w:cs="Times New Roman"/>
                <w:color w:val="000000"/>
                <w:kern w:val="0"/>
                <w14:ligatures w14:val="none"/>
              </w:rPr>
              <w:t>8.647</w:t>
            </w:r>
          </w:p>
        </w:tc>
      </w:tr>
    </w:tbl>
    <w:tbl>
      <w:tblPr>
        <w:tblpPr w:leftFromText="180" w:rightFromText="180" w:vertAnchor="text" w:horzAnchor="margin" w:tblpY="219"/>
        <w:tblW w:w="3677" w:type="dxa"/>
        <w:tblLook w:val="04A0" w:firstRow="1" w:lastRow="0" w:firstColumn="1" w:lastColumn="0" w:noHBand="0" w:noVBand="1"/>
      </w:tblPr>
      <w:tblGrid>
        <w:gridCol w:w="1860"/>
        <w:gridCol w:w="930"/>
        <w:gridCol w:w="887"/>
      </w:tblGrid>
      <w:tr w:rsidR="00B34CB0" w:rsidRPr="00B34CB0" w14:paraId="1F736C20" w14:textId="77777777" w:rsidTr="00B34CB0">
        <w:trPr>
          <w:trHeight w:val="254"/>
        </w:trPr>
        <w:tc>
          <w:tcPr>
            <w:tcW w:w="1860" w:type="dxa"/>
            <w:tcBorders>
              <w:top w:val="single" w:sz="4" w:space="0" w:color="auto"/>
              <w:left w:val="single" w:sz="4" w:space="0" w:color="auto"/>
              <w:bottom w:val="single" w:sz="4" w:space="0" w:color="auto"/>
              <w:right w:val="single" w:sz="4" w:space="0" w:color="auto"/>
            </w:tcBorders>
            <w:shd w:val="clear" w:color="000000" w:fill="94DCF8"/>
            <w:noWrap/>
            <w:vAlign w:val="bottom"/>
            <w:hideMark/>
          </w:tcPr>
          <w:p w14:paraId="71BA0A99" w14:textId="77777777" w:rsidR="00B34CB0" w:rsidRPr="00B34CB0" w:rsidRDefault="00B34CB0" w:rsidP="00B34CB0">
            <w:pPr>
              <w:spacing w:after="0" w:line="240" w:lineRule="auto"/>
              <w:rPr>
                <w:rFonts w:ascii="Aptos Narrow" w:eastAsia="Times New Roman" w:hAnsi="Aptos Narrow" w:cs="Times New Roman"/>
                <w:color w:val="000000"/>
                <w:kern w:val="0"/>
                <w14:ligatures w14:val="none"/>
              </w:rPr>
            </w:pPr>
            <w:r w:rsidRPr="00B34CB0">
              <w:rPr>
                <w:rFonts w:ascii="Aptos Narrow" w:eastAsia="Times New Roman" w:hAnsi="Aptos Narrow" w:cs="Times New Roman"/>
                <w:color w:val="000000"/>
                <w:kern w:val="0"/>
                <w14:ligatures w14:val="none"/>
              </w:rPr>
              <w:t> </w:t>
            </w:r>
          </w:p>
          <w:p w14:paraId="0935721E" w14:textId="77777777" w:rsidR="00B34CB0" w:rsidRPr="00B34CB0" w:rsidRDefault="00B34CB0" w:rsidP="00B34CB0">
            <w:pPr>
              <w:spacing w:after="0" w:line="240" w:lineRule="auto"/>
              <w:rPr>
                <w:rFonts w:ascii="Aptos Narrow" w:eastAsia="Times New Roman" w:hAnsi="Aptos Narrow" w:cs="Times New Roman"/>
                <w:color w:val="000000"/>
                <w:kern w:val="0"/>
                <w14:ligatures w14:val="none"/>
              </w:rPr>
            </w:pPr>
            <w:r w:rsidRPr="00B34CB0">
              <w:rPr>
                <w:rFonts w:ascii="Aptos Narrow" w:eastAsia="Times New Roman" w:hAnsi="Aptos Narrow" w:cs="Times New Roman"/>
                <w:color w:val="000000"/>
                <w:kern w:val="0"/>
                <w14:ligatures w14:val="none"/>
              </w:rPr>
              <w:t> </w:t>
            </w:r>
            <w:r>
              <w:rPr>
                <w:rFonts w:ascii="Aptos Narrow" w:eastAsia="Times New Roman" w:hAnsi="Aptos Narrow" w:cs="Times New Roman"/>
                <w:color w:val="000000"/>
                <w:kern w:val="0"/>
                <w14:ligatures w14:val="none"/>
              </w:rPr>
              <w:t>Oxamate</w:t>
            </w:r>
          </w:p>
        </w:tc>
        <w:tc>
          <w:tcPr>
            <w:tcW w:w="930" w:type="dxa"/>
            <w:tcBorders>
              <w:top w:val="single" w:sz="4" w:space="0" w:color="auto"/>
              <w:left w:val="nil"/>
              <w:bottom w:val="single" w:sz="4" w:space="0" w:color="auto"/>
              <w:right w:val="single" w:sz="4" w:space="0" w:color="auto"/>
            </w:tcBorders>
            <w:shd w:val="clear" w:color="000000" w:fill="94DCF8"/>
            <w:noWrap/>
            <w:vAlign w:val="bottom"/>
            <w:hideMark/>
          </w:tcPr>
          <w:p w14:paraId="626796FA" w14:textId="77777777" w:rsidR="00B34CB0" w:rsidRPr="00B34CB0" w:rsidRDefault="00B34CB0" w:rsidP="00B34CB0">
            <w:pPr>
              <w:spacing w:after="0" w:line="240" w:lineRule="auto"/>
              <w:jc w:val="center"/>
              <w:rPr>
                <w:rFonts w:ascii="Arial" w:eastAsia="Times New Roman" w:hAnsi="Arial" w:cs="Arial"/>
                <w:color w:val="1F1F1F"/>
                <w:kern w:val="0"/>
                <w14:ligatures w14:val="none"/>
              </w:rPr>
            </w:pPr>
            <w:r w:rsidRPr="00B34CB0">
              <w:rPr>
                <w:rFonts w:ascii="Arial" w:eastAsia="Times New Roman" w:hAnsi="Arial" w:cs="Arial"/>
                <w:color w:val="1F1F1F"/>
                <w:kern w:val="0"/>
                <w14:ligatures w14:val="none"/>
              </w:rPr>
              <w:t>α</w:t>
            </w:r>
          </w:p>
        </w:tc>
        <w:tc>
          <w:tcPr>
            <w:tcW w:w="887" w:type="dxa"/>
            <w:tcBorders>
              <w:top w:val="single" w:sz="4" w:space="0" w:color="auto"/>
              <w:left w:val="nil"/>
              <w:bottom w:val="single" w:sz="4" w:space="0" w:color="auto"/>
              <w:right w:val="single" w:sz="4" w:space="0" w:color="auto"/>
            </w:tcBorders>
            <w:shd w:val="clear" w:color="000000" w:fill="94DCF8"/>
            <w:noWrap/>
            <w:vAlign w:val="bottom"/>
            <w:hideMark/>
          </w:tcPr>
          <w:p w14:paraId="3B17E9DC" w14:textId="77777777" w:rsidR="00B34CB0" w:rsidRPr="00B34CB0" w:rsidRDefault="00B34CB0" w:rsidP="00B34CB0">
            <w:pPr>
              <w:spacing w:after="0" w:line="240" w:lineRule="auto"/>
              <w:jc w:val="center"/>
              <w:rPr>
                <w:rFonts w:ascii="Arial" w:eastAsia="Times New Roman" w:hAnsi="Arial" w:cs="Arial"/>
                <w:color w:val="001D35"/>
                <w:kern w:val="0"/>
                <w14:ligatures w14:val="none"/>
              </w:rPr>
            </w:pPr>
            <w:r w:rsidRPr="00B34CB0">
              <w:rPr>
                <w:rFonts w:ascii="Arial" w:eastAsia="Times New Roman" w:hAnsi="Arial" w:cs="Arial"/>
                <w:color w:val="001D35"/>
                <w:kern w:val="0"/>
                <w14:ligatures w14:val="none"/>
              </w:rPr>
              <w:t>α′</w:t>
            </w:r>
          </w:p>
        </w:tc>
      </w:tr>
      <w:tr w:rsidR="00B34CB0" w:rsidRPr="00B34CB0" w14:paraId="17094281" w14:textId="77777777" w:rsidTr="00B34CB0">
        <w:trPr>
          <w:trHeight w:val="254"/>
        </w:trPr>
        <w:tc>
          <w:tcPr>
            <w:tcW w:w="1860" w:type="dxa"/>
            <w:tcBorders>
              <w:top w:val="single" w:sz="4" w:space="0" w:color="auto"/>
              <w:left w:val="single" w:sz="4" w:space="0" w:color="auto"/>
              <w:bottom w:val="single" w:sz="4" w:space="0" w:color="auto"/>
              <w:right w:val="single" w:sz="4" w:space="0" w:color="auto"/>
            </w:tcBorders>
            <w:shd w:val="clear" w:color="000000" w:fill="F2CEEF"/>
            <w:noWrap/>
            <w:vAlign w:val="bottom"/>
            <w:hideMark/>
          </w:tcPr>
          <w:p w14:paraId="2A07BAE1" w14:textId="77777777" w:rsidR="00B34CB0" w:rsidRPr="00B34CB0" w:rsidRDefault="00B34CB0" w:rsidP="00B34CB0">
            <w:pPr>
              <w:spacing w:after="0" w:line="240" w:lineRule="auto"/>
              <w:jc w:val="center"/>
              <w:rPr>
                <w:rFonts w:ascii="Aptos Narrow" w:eastAsia="Times New Roman" w:hAnsi="Aptos Narrow" w:cs="Times New Roman"/>
                <w:b/>
                <w:bCs/>
                <w:color w:val="000000"/>
                <w:kern w:val="0"/>
                <w14:ligatures w14:val="none"/>
              </w:rPr>
            </w:pPr>
            <w:r w:rsidRPr="00B34CB0">
              <w:rPr>
                <w:rFonts w:ascii="Aptos Narrow" w:eastAsia="Times New Roman" w:hAnsi="Aptos Narrow" w:cs="Times New Roman"/>
                <w:b/>
                <w:bCs/>
                <w:color w:val="000000"/>
                <w:kern w:val="0"/>
                <w14:ligatures w14:val="none"/>
              </w:rPr>
              <w:t>LDH - 0.5 I</w:t>
            </w:r>
          </w:p>
        </w:tc>
        <w:tc>
          <w:tcPr>
            <w:tcW w:w="930" w:type="dxa"/>
            <w:tcBorders>
              <w:top w:val="nil"/>
              <w:left w:val="nil"/>
              <w:bottom w:val="single" w:sz="4" w:space="0" w:color="auto"/>
              <w:right w:val="single" w:sz="4" w:space="0" w:color="auto"/>
            </w:tcBorders>
            <w:noWrap/>
            <w:vAlign w:val="bottom"/>
            <w:hideMark/>
          </w:tcPr>
          <w:p w14:paraId="05990682" w14:textId="77777777" w:rsidR="00B34CB0" w:rsidRPr="00B34CB0" w:rsidRDefault="00B34CB0" w:rsidP="00B34CB0">
            <w:pPr>
              <w:spacing w:after="0" w:line="240" w:lineRule="auto"/>
              <w:jc w:val="center"/>
              <w:rPr>
                <w:rFonts w:ascii="Aptos Narrow" w:eastAsia="Times New Roman" w:hAnsi="Aptos Narrow" w:cs="Times New Roman"/>
                <w:color w:val="000000"/>
                <w:kern w:val="0"/>
                <w14:ligatures w14:val="none"/>
              </w:rPr>
            </w:pPr>
            <w:r w:rsidRPr="00B34CB0">
              <w:rPr>
                <w:rFonts w:ascii="Aptos Narrow" w:eastAsia="Times New Roman" w:hAnsi="Aptos Narrow" w:cs="Times New Roman"/>
                <w:color w:val="000000"/>
                <w:kern w:val="0"/>
                <w14:ligatures w14:val="none"/>
              </w:rPr>
              <w:t>7.923</w:t>
            </w:r>
          </w:p>
        </w:tc>
        <w:tc>
          <w:tcPr>
            <w:tcW w:w="887" w:type="dxa"/>
            <w:tcBorders>
              <w:top w:val="nil"/>
              <w:left w:val="nil"/>
              <w:bottom w:val="single" w:sz="4" w:space="0" w:color="auto"/>
              <w:right w:val="single" w:sz="4" w:space="0" w:color="auto"/>
            </w:tcBorders>
            <w:noWrap/>
            <w:vAlign w:val="bottom"/>
            <w:hideMark/>
          </w:tcPr>
          <w:p w14:paraId="5A9B689D" w14:textId="77777777" w:rsidR="00B34CB0" w:rsidRPr="00B34CB0" w:rsidRDefault="00B34CB0" w:rsidP="00B34CB0">
            <w:pPr>
              <w:spacing w:after="0" w:line="240" w:lineRule="auto"/>
              <w:jc w:val="center"/>
              <w:rPr>
                <w:rFonts w:ascii="Aptos Narrow" w:eastAsia="Times New Roman" w:hAnsi="Aptos Narrow" w:cs="Times New Roman"/>
                <w:color w:val="000000"/>
                <w:kern w:val="0"/>
                <w14:ligatures w14:val="none"/>
              </w:rPr>
            </w:pPr>
            <w:r w:rsidRPr="00B34CB0">
              <w:rPr>
                <w:rFonts w:ascii="Aptos Narrow" w:eastAsia="Times New Roman" w:hAnsi="Aptos Narrow" w:cs="Times New Roman"/>
                <w:color w:val="000000"/>
                <w:kern w:val="0"/>
                <w14:ligatures w14:val="none"/>
              </w:rPr>
              <w:t>12.444</w:t>
            </w:r>
          </w:p>
        </w:tc>
      </w:tr>
      <w:tr w:rsidR="00B34CB0" w:rsidRPr="00B34CB0" w14:paraId="052085C6" w14:textId="77777777" w:rsidTr="00B34CB0">
        <w:trPr>
          <w:trHeight w:val="254"/>
        </w:trPr>
        <w:tc>
          <w:tcPr>
            <w:tcW w:w="1860" w:type="dxa"/>
            <w:tcBorders>
              <w:top w:val="single" w:sz="4" w:space="0" w:color="auto"/>
              <w:left w:val="single" w:sz="4" w:space="0" w:color="auto"/>
              <w:bottom w:val="single" w:sz="4" w:space="0" w:color="auto"/>
              <w:right w:val="single" w:sz="4" w:space="0" w:color="auto"/>
            </w:tcBorders>
            <w:shd w:val="clear" w:color="000000" w:fill="F2CEEF"/>
            <w:noWrap/>
            <w:vAlign w:val="bottom"/>
            <w:hideMark/>
          </w:tcPr>
          <w:p w14:paraId="5948FED1" w14:textId="77777777" w:rsidR="00B34CB0" w:rsidRPr="00B34CB0" w:rsidRDefault="00B34CB0" w:rsidP="00B34CB0">
            <w:pPr>
              <w:spacing w:after="0" w:line="240" w:lineRule="auto"/>
              <w:jc w:val="center"/>
              <w:rPr>
                <w:rFonts w:ascii="Aptos Narrow" w:eastAsia="Times New Roman" w:hAnsi="Aptos Narrow" w:cs="Times New Roman"/>
                <w:b/>
                <w:bCs/>
                <w:color w:val="000000"/>
                <w:kern w:val="0"/>
                <w14:ligatures w14:val="none"/>
              </w:rPr>
            </w:pPr>
            <w:r w:rsidRPr="00B34CB0">
              <w:rPr>
                <w:rFonts w:ascii="Aptos Narrow" w:eastAsia="Times New Roman" w:hAnsi="Aptos Narrow" w:cs="Times New Roman"/>
                <w:b/>
                <w:bCs/>
                <w:color w:val="000000"/>
                <w:kern w:val="0"/>
                <w14:ligatures w14:val="none"/>
              </w:rPr>
              <w:t>LDH - 0.3 I</w:t>
            </w:r>
          </w:p>
        </w:tc>
        <w:tc>
          <w:tcPr>
            <w:tcW w:w="930" w:type="dxa"/>
            <w:tcBorders>
              <w:top w:val="nil"/>
              <w:left w:val="nil"/>
              <w:bottom w:val="single" w:sz="4" w:space="0" w:color="auto"/>
              <w:right w:val="single" w:sz="4" w:space="0" w:color="auto"/>
            </w:tcBorders>
            <w:noWrap/>
            <w:vAlign w:val="bottom"/>
            <w:hideMark/>
          </w:tcPr>
          <w:p w14:paraId="60647B5B" w14:textId="77777777" w:rsidR="00B34CB0" w:rsidRPr="00B34CB0" w:rsidRDefault="00B34CB0" w:rsidP="00B34CB0">
            <w:pPr>
              <w:spacing w:after="0" w:line="240" w:lineRule="auto"/>
              <w:jc w:val="center"/>
              <w:rPr>
                <w:rFonts w:ascii="Aptos Narrow" w:eastAsia="Times New Roman" w:hAnsi="Aptos Narrow" w:cs="Times New Roman"/>
                <w:color w:val="000000"/>
                <w:kern w:val="0"/>
                <w14:ligatures w14:val="none"/>
              </w:rPr>
            </w:pPr>
            <w:r w:rsidRPr="00B34CB0">
              <w:rPr>
                <w:rFonts w:ascii="Aptos Narrow" w:eastAsia="Times New Roman" w:hAnsi="Aptos Narrow" w:cs="Times New Roman"/>
                <w:color w:val="000000"/>
                <w:kern w:val="0"/>
                <w14:ligatures w14:val="none"/>
              </w:rPr>
              <w:t>8.881</w:t>
            </w:r>
          </w:p>
        </w:tc>
        <w:tc>
          <w:tcPr>
            <w:tcW w:w="887" w:type="dxa"/>
            <w:tcBorders>
              <w:top w:val="nil"/>
              <w:left w:val="nil"/>
              <w:bottom w:val="single" w:sz="4" w:space="0" w:color="auto"/>
              <w:right w:val="single" w:sz="4" w:space="0" w:color="auto"/>
            </w:tcBorders>
            <w:noWrap/>
            <w:vAlign w:val="bottom"/>
            <w:hideMark/>
          </w:tcPr>
          <w:p w14:paraId="09DD2D53" w14:textId="77777777" w:rsidR="00B34CB0" w:rsidRPr="00B34CB0" w:rsidRDefault="00B34CB0" w:rsidP="00B34CB0">
            <w:pPr>
              <w:spacing w:after="0" w:line="240" w:lineRule="auto"/>
              <w:jc w:val="center"/>
              <w:rPr>
                <w:rFonts w:ascii="Aptos Narrow" w:eastAsia="Times New Roman" w:hAnsi="Aptos Narrow" w:cs="Times New Roman"/>
                <w:color w:val="000000"/>
                <w:kern w:val="0"/>
                <w14:ligatures w14:val="none"/>
              </w:rPr>
            </w:pPr>
            <w:r w:rsidRPr="00B34CB0">
              <w:rPr>
                <w:rFonts w:ascii="Aptos Narrow" w:eastAsia="Times New Roman" w:hAnsi="Aptos Narrow" w:cs="Times New Roman"/>
                <w:color w:val="000000"/>
                <w:kern w:val="0"/>
                <w14:ligatures w14:val="none"/>
              </w:rPr>
              <w:t>1.787</w:t>
            </w:r>
          </w:p>
        </w:tc>
      </w:tr>
      <w:tr w:rsidR="00B34CB0" w:rsidRPr="00B34CB0" w14:paraId="07457829" w14:textId="77777777" w:rsidTr="00B34CB0">
        <w:trPr>
          <w:trHeight w:val="254"/>
        </w:trPr>
        <w:tc>
          <w:tcPr>
            <w:tcW w:w="1860" w:type="dxa"/>
            <w:tcBorders>
              <w:top w:val="single" w:sz="4" w:space="0" w:color="auto"/>
              <w:left w:val="single" w:sz="4" w:space="0" w:color="auto"/>
              <w:bottom w:val="single" w:sz="4" w:space="0" w:color="auto"/>
              <w:right w:val="single" w:sz="4" w:space="0" w:color="auto"/>
            </w:tcBorders>
            <w:shd w:val="clear" w:color="000000" w:fill="F2CEEF"/>
            <w:noWrap/>
            <w:vAlign w:val="bottom"/>
            <w:hideMark/>
          </w:tcPr>
          <w:p w14:paraId="4BB8AE62" w14:textId="77777777" w:rsidR="00B34CB0" w:rsidRPr="00B34CB0" w:rsidRDefault="00B34CB0" w:rsidP="00B34CB0">
            <w:pPr>
              <w:spacing w:after="0" w:line="240" w:lineRule="auto"/>
              <w:jc w:val="center"/>
              <w:rPr>
                <w:rFonts w:ascii="Aptos Narrow" w:eastAsia="Times New Roman" w:hAnsi="Aptos Narrow" w:cs="Times New Roman"/>
                <w:b/>
                <w:bCs/>
                <w:color w:val="000000"/>
                <w:kern w:val="0"/>
                <w14:ligatures w14:val="none"/>
              </w:rPr>
            </w:pPr>
            <w:r w:rsidRPr="00B34CB0">
              <w:rPr>
                <w:rFonts w:ascii="Aptos Narrow" w:eastAsia="Times New Roman" w:hAnsi="Aptos Narrow" w:cs="Times New Roman"/>
                <w:b/>
                <w:bCs/>
                <w:color w:val="000000"/>
                <w:kern w:val="0"/>
                <w14:ligatures w14:val="none"/>
              </w:rPr>
              <w:t>LDH - 0.1 I</w:t>
            </w:r>
          </w:p>
        </w:tc>
        <w:tc>
          <w:tcPr>
            <w:tcW w:w="930" w:type="dxa"/>
            <w:tcBorders>
              <w:top w:val="nil"/>
              <w:left w:val="nil"/>
              <w:bottom w:val="single" w:sz="4" w:space="0" w:color="auto"/>
              <w:right w:val="single" w:sz="4" w:space="0" w:color="auto"/>
            </w:tcBorders>
            <w:noWrap/>
            <w:vAlign w:val="bottom"/>
            <w:hideMark/>
          </w:tcPr>
          <w:p w14:paraId="0706BAF3" w14:textId="77777777" w:rsidR="00B34CB0" w:rsidRPr="00B34CB0" w:rsidRDefault="00B34CB0" w:rsidP="00B34CB0">
            <w:pPr>
              <w:spacing w:after="0" w:line="240" w:lineRule="auto"/>
              <w:jc w:val="center"/>
              <w:rPr>
                <w:rFonts w:ascii="Aptos Narrow" w:eastAsia="Times New Roman" w:hAnsi="Aptos Narrow" w:cs="Times New Roman"/>
                <w:color w:val="000000"/>
                <w:kern w:val="0"/>
                <w14:ligatures w14:val="none"/>
              </w:rPr>
            </w:pPr>
            <w:r w:rsidRPr="00B34CB0">
              <w:rPr>
                <w:rFonts w:ascii="Aptos Narrow" w:eastAsia="Times New Roman" w:hAnsi="Aptos Narrow" w:cs="Times New Roman"/>
                <w:color w:val="000000"/>
                <w:kern w:val="0"/>
                <w14:ligatures w14:val="none"/>
              </w:rPr>
              <w:t>3.286</w:t>
            </w:r>
          </w:p>
        </w:tc>
        <w:tc>
          <w:tcPr>
            <w:tcW w:w="887" w:type="dxa"/>
            <w:tcBorders>
              <w:top w:val="nil"/>
              <w:left w:val="nil"/>
              <w:bottom w:val="single" w:sz="4" w:space="0" w:color="auto"/>
              <w:right w:val="single" w:sz="4" w:space="0" w:color="auto"/>
            </w:tcBorders>
            <w:noWrap/>
            <w:vAlign w:val="bottom"/>
            <w:hideMark/>
          </w:tcPr>
          <w:p w14:paraId="283EAB7C" w14:textId="77777777" w:rsidR="00B34CB0" w:rsidRPr="00B34CB0" w:rsidRDefault="00B34CB0" w:rsidP="00B34CB0">
            <w:pPr>
              <w:spacing w:after="0" w:line="240" w:lineRule="auto"/>
              <w:jc w:val="center"/>
              <w:rPr>
                <w:rFonts w:ascii="Aptos Narrow" w:eastAsia="Times New Roman" w:hAnsi="Aptos Narrow" w:cs="Times New Roman"/>
                <w:color w:val="000000"/>
                <w:kern w:val="0"/>
                <w14:ligatures w14:val="none"/>
              </w:rPr>
            </w:pPr>
            <w:r w:rsidRPr="00B34CB0">
              <w:rPr>
                <w:rFonts w:ascii="Aptos Narrow" w:eastAsia="Times New Roman" w:hAnsi="Aptos Narrow" w:cs="Times New Roman"/>
                <w:color w:val="000000"/>
                <w:kern w:val="0"/>
                <w14:ligatures w14:val="none"/>
              </w:rPr>
              <w:t>4.715</w:t>
            </w:r>
          </w:p>
        </w:tc>
      </w:tr>
    </w:tbl>
    <w:p w14:paraId="2BADE99E" w14:textId="77777777" w:rsidR="00B34CB0" w:rsidRDefault="00B34CB0" w:rsidP="00141330">
      <w:pPr>
        <w:rPr>
          <w:rStyle w:val="IntenseEmphasis"/>
          <w:i w:val="0"/>
          <w:iCs w:val="0"/>
          <w:color w:val="auto"/>
        </w:rPr>
      </w:pPr>
    </w:p>
    <w:p w14:paraId="49BE3321" w14:textId="77777777" w:rsidR="00C2352E" w:rsidRPr="00141330" w:rsidRDefault="00C2352E" w:rsidP="00141330">
      <w:pPr>
        <w:rPr>
          <w:rStyle w:val="IntenseEmphasis"/>
          <w:i w:val="0"/>
          <w:iCs w:val="0"/>
          <w:color w:val="auto"/>
        </w:rPr>
      </w:pPr>
    </w:p>
    <w:p w14:paraId="78F0140B" w14:textId="77777777" w:rsidR="00FB0050" w:rsidRDefault="00FB0050"/>
    <w:sectPr w:rsidR="00FB00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C63340"/>
    <w:multiLevelType w:val="hybridMultilevel"/>
    <w:tmpl w:val="1EFAC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8667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050"/>
    <w:rsid w:val="00141330"/>
    <w:rsid w:val="003D3CE8"/>
    <w:rsid w:val="00435D68"/>
    <w:rsid w:val="00507761"/>
    <w:rsid w:val="00706006"/>
    <w:rsid w:val="00812C3A"/>
    <w:rsid w:val="00B34CB0"/>
    <w:rsid w:val="00C2352E"/>
    <w:rsid w:val="00C242CF"/>
    <w:rsid w:val="00FA72C8"/>
    <w:rsid w:val="00FB0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2D951"/>
  <w15:chartTrackingRefBased/>
  <w15:docId w15:val="{262DCAE4-869B-477D-86E6-DD3F82863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E8"/>
  </w:style>
  <w:style w:type="paragraph" w:styleId="Heading1">
    <w:name w:val="heading 1"/>
    <w:basedOn w:val="Normal"/>
    <w:next w:val="Normal"/>
    <w:link w:val="Heading1Char"/>
    <w:uiPriority w:val="9"/>
    <w:qFormat/>
    <w:rsid w:val="00FB0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0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0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0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0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050"/>
    <w:rPr>
      <w:rFonts w:eastAsiaTheme="majorEastAsia" w:cstheme="majorBidi"/>
      <w:color w:val="272727" w:themeColor="text1" w:themeTint="D8"/>
    </w:rPr>
  </w:style>
  <w:style w:type="paragraph" w:styleId="Title">
    <w:name w:val="Title"/>
    <w:basedOn w:val="Normal"/>
    <w:next w:val="Normal"/>
    <w:link w:val="TitleChar"/>
    <w:uiPriority w:val="10"/>
    <w:qFormat/>
    <w:rsid w:val="00FB0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050"/>
    <w:pPr>
      <w:spacing w:before="160"/>
      <w:jc w:val="center"/>
    </w:pPr>
    <w:rPr>
      <w:i/>
      <w:iCs/>
      <w:color w:val="404040" w:themeColor="text1" w:themeTint="BF"/>
    </w:rPr>
  </w:style>
  <w:style w:type="character" w:customStyle="1" w:styleId="QuoteChar">
    <w:name w:val="Quote Char"/>
    <w:basedOn w:val="DefaultParagraphFont"/>
    <w:link w:val="Quote"/>
    <w:uiPriority w:val="29"/>
    <w:rsid w:val="00FB0050"/>
    <w:rPr>
      <w:i/>
      <w:iCs/>
      <w:color w:val="404040" w:themeColor="text1" w:themeTint="BF"/>
    </w:rPr>
  </w:style>
  <w:style w:type="paragraph" w:styleId="ListParagraph">
    <w:name w:val="List Paragraph"/>
    <w:basedOn w:val="Normal"/>
    <w:uiPriority w:val="34"/>
    <w:qFormat/>
    <w:rsid w:val="00FB0050"/>
    <w:pPr>
      <w:ind w:left="720"/>
      <w:contextualSpacing/>
    </w:pPr>
  </w:style>
  <w:style w:type="character" w:styleId="IntenseEmphasis">
    <w:name w:val="Intense Emphasis"/>
    <w:basedOn w:val="DefaultParagraphFont"/>
    <w:uiPriority w:val="21"/>
    <w:qFormat/>
    <w:rsid w:val="00FB0050"/>
    <w:rPr>
      <w:i/>
      <w:iCs/>
      <w:color w:val="0F4761" w:themeColor="accent1" w:themeShade="BF"/>
    </w:rPr>
  </w:style>
  <w:style w:type="paragraph" w:styleId="IntenseQuote">
    <w:name w:val="Intense Quote"/>
    <w:basedOn w:val="Normal"/>
    <w:next w:val="Normal"/>
    <w:link w:val="IntenseQuoteChar"/>
    <w:uiPriority w:val="30"/>
    <w:qFormat/>
    <w:rsid w:val="00FB0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050"/>
    <w:rPr>
      <w:i/>
      <w:iCs/>
      <w:color w:val="0F4761" w:themeColor="accent1" w:themeShade="BF"/>
    </w:rPr>
  </w:style>
  <w:style w:type="character" w:styleId="IntenseReference">
    <w:name w:val="Intense Reference"/>
    <w:basedOn w:val="DefaultParagraphFont"/>
    <w:uiPriority w:val="32"/>
    <w:qFormat/>
    <w:rsid w:val="00FB00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mxlakeforest-my.sharepoint.com/personal/levenshteynjro_lakeforest_edu/Documents/LDH_Kinetic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mxlakeforest-my.sharepoint.com/personal/levenshteynjro_lakeforest_edu/Documents/LDH_Kinetic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LDH Lineweaver Burke Plot With Oxamate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397673596534137"/>
          <c:y val="9.6976228188553129E-2"/>
          <c:w val="0.65024356161471963"/>
          <c:h val="0.80815563756411779"/>
        </c:manualLayout>
      </c:layout>
      <c:scatterChart>
        <c:scatterStyle val="lineMarker"/>
        <c:varyColors val="0"/>
        <c:ser>
          <c:idx val="0"/>
          <c:order val="0"/>
          <c:tx>
            <c:strRef>
              <c:f>'Week 3 Inhib_together'!$A$1:$B$1</c:f>
              <c:strCache>
                <c:ptCount val="1"/>
                <c:pt idx="0">
                  <c:v>LDH - No I</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backward val="2000"/>
            <c:dispRSqr val="0"/>
            <c:dispEq val="0"/>
          </c:trendline>
          <c:xVal>
            <c:numRef>
              <c:f>'Week 3 Inhib_together'!$A$3:$A$6</c:f>
              <c:numCache>
                <c:formatCode>General</c:formatCode>
                <c:ptCount val="4"/>
                <c:pt idx="0">
                  <c:v>142.04545454545456</c:v>
                </c:pt>
                <c:pt idx="1">
                  <c:v>568.18181818181824</c:v>
                </c:pt>
                <c:pt idx="2">
                  <c:v>1136.3636363636365</c:v>
                </c:pt>
                <c:pt idx="3">
                  <c:v>2272.727272727273</c:v>
                </c:pt>
              </c:numCache>
            </c:numRef>
          </c:xVal>
          <c:yVal>
            <c:numRef>
              <c:f>'Week 3 Inhib_together'!$B$3:$B$6</c:f>
              <c:numCache>
                <c:formatCode>General</c:formatCode>
                <c:ptCount val="4"/>
                <c:pt idx="0">
                  <c:v>28.661507595299515</c:v>
                </c:pt>
                <c:pt idx="1">
                  <c:v>30.750307503075032</c:v>
                </c:pt>
                <c:pt idx="2">
                  <c:v>51.519835136527561</c:v>
                </c:pt>
                <c:pt idx="3">
                  <c:v>97.181729834791057</c:v>
                </c:pt>
              </c:numCache>
            </c:numRef>
          </c:yVal>
          <c:smooth val="0"/>
          <c:extLst>
            <c:ext xmlns:c16="http://schemas.microsoft.com/office/drawing/2014/chart" uri="{C3380CC4-5D6E-409C-BE32-E72D297353CC}">
              <c16:uniqueId val="{00000001-530B-4950-9E17-EE7588933B84}"/>
            </c:ext>
          </c:extLst>
        </c:ser>
        <c:ser>
          <c:idx val="2"/>
          <c:order val="1"/>
          <c:tx>
            <c:strRef>
              <c:f>'Week 3 Inhib_together'!$D$1:$E$1</c:f>
              <c:strCache>
                <c:ptCount val="1"/>
                <c:pt idx="0">
                  <c:v>LDH - 0.5 I</c:v>
                </c:pt>
              </c:strCache>
            </c:strRef>
          </c:tx>
          <c:spPr>
            <a:ln w="25400" cap="rnd">
              <a:noFill/>
              <a:round/>
            </a:ln>
            <a:effectLst/>
          </c:spPr>
          <c:marker>
            <c:symbol val="circle"/>
            <c:size val="5"/>
            <c:spPr>
              <a:solidFill>
                <a:schemeClr val="accent3"/>
              </a:solidFill>
              <a:ln w="9525">
                <a:solidFill>
                  <a:schemeClr val="accent3"/>
                </a:solidFill>
              </a:ln>
              <a:effectLst/>
            </c:spPr>
          </c:marker>
          <c:trendline>
            <c:spPr>
              <a:ln w="19050" cap="rnd">
                <a:solidFill>
                  <a:schemeClr val="accent3"/>
                </a:solidFill>
                <a:prstDash val="sysDot"/>
              </a:ln>
              <a:effectLst/>
            </c:spPr>
            <c:trendlineType val="linear"/>
            <c:backward val="2000"/>
            <c:dispRSqr val="0"/>
            <c:dispEq val="0"/>
          </c:trendline>
          <c:xVal>
            <c:numRef>
              <c:f>'Week 3 Inhib_together'!$D$3:$D$6</c:f>
              <c:numCache>
                <c:formatCode>General</c:formatCode>
                <c:ptCount val="4"/>
                <c:pt idx="0">
                  <c:v>142.04545454545456</c:v>
                </c:pt>
                <c:pt idx="1">
                  <c:v>568.18181818181824</c:v>
                </c:pt>
                <c:pt idx="2">
                  <c:v>1136.3636363636365</c:v>
                </c:pt>
                <c:pt idx="3">
                  <c:v>2272.727272727273</c:v>
                </c:pt>
              </c:numCache>
            </c:numRef>
          </c:xVal>
          <c:yVal>
            <c:numRef>
              <c:f>'Week 3 Inhib_together'!$E$3:$E$6</c:f>
              <c:numCache>
                <c:formatCode>General</c:formatCode>
                <c:ptCount val="4"/>
                <c:pt idx="0">
                  <c:v>257.86487880350694</c:v>
                </c:pt>
                <c:pt idx="1">
                  <c:v>326.05151613955007</c:v>
                </c:pt>
                <c:pt idx="2">
                  <c:v>565.93095642331639</c:v>
                </c:pt>
                <c:pt idx="3">
                  <c:v>809.06148867313925</c:v>
                </c:pt>
              </c:numCache>
            </c:numRef>
          </c:yVal>
          <c:smooth val="0"/>
          <c:extLst>
            <c:ext xmlns:c16="http://schemas.microsoft.com/office/drawing/2014/chart" uri="{C3380CC4-5D6E-409C-BE32-E72D297353CC}">
              <c16:uniqueId val="{00000003-530B-4950-9E17-EE7588933B84}"/>
            </c:ext>
          </c:extLst>
        </c:ser>
        <c:ser>
          <c:idx val="5"/>
          <c:order val="2"/>
          <c:tx>
            <c:strRef>
              <c:f>'Week 3 Inhib_together'!$G$1:$H$1</c:f>
              <c:strCache>
                <c:ptCount val="1"/>
                <c:pt idx="0">
                  <c:v>LDH - 0.3 I</c:v>
                </c:pt>
              </c:strCache>
            </c:strRef>
          </c:tx>
          <c:spPr>
            <a:ln w="25400" cap="rnd">
              <a:noFill/>
              <a:round/>
            </a:ln>
            <a:effectLst/>
          </c:spPr>
          <c:marker>
            <c:symbol val="circle"/>
            <c:size val="5"/>
            <c:spPr>
              <a:solidFill>
                <a:schemeClr val="accent6"/>
              </a:solidFill>
              <a:ln w="9525">
                <a:solidFill>
                  <a:schemeClr val="accent6"/>
                </a:solidFill>
              </a:ln>
              <a:effectLst/>
            </c:spPr>
          </c:marker>
          <c:trendline>
            <c:spPr>
              <a:ln w="19050" cap="rnd">
                <a:solidFill>
                  <a:schemeClr val="accent6"/>
                </a:solidFill>
                <a:prstDash val="sysDot"/>
              </a:ln>
              <a:effectLst/>
            </c:spPr>
            <c:trendlineType val="linear"/>
            <c:backward val="2000"/>
            <c:dispRSqr val="0"/>
            <c:dispEq val="0"/>
          </c:trendline>
          <c:xVal>
            <c:numRef>
              <c:f>'Week 3 Inhib_together'!$G$3:$G$6</c:f>
              <c:numCache>
                <c:formatCode>General</c:formatCode>
                <c:ptCount val="4"/>
                <c:pt idx="0">
                  <c:v>142.04545454545456</c:v>
                </c:pt>
                <c:pt idx="1">
                  <c:v>568.18181818181824</c:v>
                </c:pt>
                <c:pt idx="2">
                  <c:v>1136.3636363636365</c:v>
                </c:pt>
                <c:pt idx="3">
                  <c:v>2272.727272727273</c:v>
                </c:pt>
              </c:numCache>
            </c:numRef>
          </c:xVal>
          <c:yVal>
            <c:numRef>
              <c:f>'Week 3 Inhib_together'!$H$3:$H$6</c:f>
              <c:numCache>
                <c:formatCode>General</c:formatCode>
                <c:ptCount val="4"/>
                <c:pt idx="0">
                  <c:v>46.232085067036522</c:v>
                </c:pt>
                <c:pt idx="1">
                  <c:v>110.57054400707652</c:v>
                </c:pt>
                <c:pt idx="2">
                  <c:v>559.91041433370663</c:v>
                </c:pt>
                <c:pt idx="3">
                  <c:v>645.16129032258061</c:v>
                </c:pt>
              </c:numCache>
            </c:numRef>
          </c:yVal>
          <c:smooth val="0"/>
          <c:extLst>
            <c:ext xmlns:c16="http://schemas.microsoft.com/office/drawing/2014/chart" uri="{C3380CC4-5D6E-409C-BE32-E72D297353CC}">
              <c16:uniqueId val="{00000005-530B-4950-9E17-EE7588933B84}"/>
            </c:ext>
          </c:extLst>
        </c:ser>
        <c:ser>
          <c:idx val="8"/>
          <c:order val="3"/>
          <c:tx>
            <c:strRef>
              <c:f>'Week 3 Inhib_together'!$J$1:$K$1</c:f>
              <c:strCache>
                <c:ptCount val="1"/>
                <c:pt idx="0">
                  <c:v>LDH - 0.1 I</c:v>
                </c:pt>
              </c:strCache>
            </c:strRef>
          </c:tx>
          <c:spPr>
            <a:ln w="25400" cap="rnd">
              <a:noFill/>
              <a:round/>
            </a:ln>
            <a:effectLst/>
          </c:spPr>
          <c:marker>
            <c:symbol val="circle"/>
            <c:size val="5"/>
            <c:spPr>
              <a:solidFill>
                <a:schemeClr val="accent3">
                  <a:lumMod val="60000"/>
                </a:schemeClr>
              </a:solidFill>
              <a:ln w="9525">
                <a:solidFill>
                  <a:schemeClr val="accent3">
                    <a:lumMod val="60000"/>
                  </a:schemeClr>
                </a:solidFill>
              </a:ln>
              <a:effectLst/>
            </c:spPr>
          </c:marker>
          <c:trendline>
            <c:spPr>
              <a:ln w="19050" cap="rnd">
                <a:solidFill>
                  <a:schemeClr val="accent3">
                    <a:lumMod val="60000"/>
                  </a:schemeClr>
                </a:solidFill>
                <a:prstDash val="sysDot"/>
              </a:ln>
              <a:effectLst/>
            </c:spPr>
            <c:trendlineType val="linear"/>
            <c:backward val="2000"/>
            <c:dispRSqr val="0"/>
            <c:dispEq val="0"/>
          </c:trendline>
          <c:xVal>
            <c:numRef>
              <c:f>'Week 3 Inhib_together'!$J$3:$J$6</c:f>
              <c:numCache>
                <c:formatCode>General</c:formatCode>
                <c:ptCount val="4"/>
                <c:pt idx="0">
                  <c:v>142.04545454545456</c:v>
                </c:pt>
                <c:pt idx="1">
                  <c:v>568.18181818181824</c:v>
                </c:pt>
                <c:pt idx="2">
                  <c:v>1136.3636363636365</c:v>
                </c:pt>
                <c:pt idx="3">
                  <c:v>2272.727272727273</c:v>
                </c:pt>
              </c:numCache>
            </c:numRef>
          </c:xVal>
          <c:yVal>
            <c:numRef>
              <c:f>'Week 3 Inhib_together'!$K$3:$K$6</c:f>
              <c:numCache>
                <c:formatCode>General</c:formatCode>
                <c:ptCount val="4"/>
                <c:pt idx="0">
                  <c:v>82.034454470877776</c:v>
                </c:pt>
                <c:pt idx="1">
                  <c:v>163.39869281045753</c:v>
                </c:pt>
                <c:pt idx="2">
                  <c:v>205.71898786257972</c:v>
                </c:pt>
                <c:pt idx="3">
                  <c:v>330.68783068783068</c:v>
                </c:pt>
              </c:numCache>
            </c:numRef>
          </c:yVal>
          <c:smooth val="0"/>
          <c:extLst>
            <c:ext xmlns:c16="http://schemas.microsoft.com/office/drawing/2014/chart" uri="{C3380CC4-5D6E-409C-BE32-E72D297353CC}">
              <c16:uniqueId val="{00000007-530B-4950-9E17-EE7588933B84}"/>
            </c:ext>
          </c:extLst>
        </c:ser>
        <c:dLbls>
          <c:showLegendKey val="0"/>
          <c:showVal val="0"/>
          <c:showCatName val="0"/>
          <c:showSerName val="0"/>
          <c:showPercent val="0"/>
          <c:showBubbleSize val="0"/>
        </c:dLbls>
        <c:axId val="72319424"/>
        <c:axId val="1327262655"/>
      </c:scatterChart>
      <c:valAx>
        <c:axId val="7231942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400"/>
                  <a:t> </a:t>
                </a:r>
                <a:r>
                  <a:rPr lang="en-US" sz="1400" b="0" i="0" u="none" strike="noStrike" kern="1200" baseline="0">
                    <a:solidFill>
                      <a:sysClr val="windowText" lastClr="000000">
                        <a:lumMod val="65000"/>
                        <a:lumOff val="35000"/>
                      </a:sysClr>
                    </a:solidFill>
                  </a:rPr>
                  <a:t>1/[S] (1/mol)</a:t>
                </a:r>
              </a:p>
            </c:rich>
          </c:tx>
          <c:layout>
            <c:manualLayout>
              <c:xMode val="edge"/>
              <c:yMode val="edge"/>
              <c:x val="0.31348109580492156"/>
              <c:y val="0.90399593683206392"/>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7262655"/>
        <c:crosses val="autoZero"/>
        <c:crossBetween val="midCat"/>
      </c:valAx>
      <c:valAx>
        <c:axId val="13272626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400"/>
                  <a:t> </a:t>
                </a:r>
                <a:r>
                  <a:rPr lang="en-US" sz="1400" b="0" i="0" u="none" strike="noStrike" kern="1200" baseline="0">
                    <a:solidFill>
                      <a:sysClr val="windowText" lastClr="000000">
                        <a:lumMod val="65000"/>
                        <a:lumOff val="35000"/>
                      </a:sysClr>
                    </a:solidFill>
                  </a:rPr>
                  <a:t>1/Vo 1/(mol/sec)</a:t>
                </a:r>
              </a:p>
            </c:rich>
          </c:tx>
          <c:layout>
            <c:manualLayout>
              <c:xMode val="edge"/>
              <c:yMode val="edge"/>
              <c:x val="4.3149937931923343E-3"/>
              <c:y val="0.25063560253231731"/>
            </c:manualLayout>
          </c:layout>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319424"/>
        <c:crosses val="autoZero"/>
        <c:crossBetween val="midCat"/>
      </c:valAx>
      <c:spPr>
        <a:noFill/>
        <a:ln>
          <a:noFill/>
        </a:ln>
        <a:effectLst/>
      </c:spPr>
    </c:plotArea>
    <c:legend>
      <c:legendPos val="r"/>
      <c:layout>
        <c:manualLayout>
          <c:xMode val="edge"/>
          <c:yMode val="edge"/>
          <c:x val="0.80487409639507701"/>
          <c:y val="8.8691663180307939E-2"/>
          <c:w val="0.15304231558018011"/>
          <c:h val="0.8269393243355434"/>
        </c:manualLayout>
      </c:layout>
      <c:overlay val="0"/>
      <c:spPr>
        <a:noFill/>
        <a:ln>
          <a:solidFill>
            <a:schemeClr val="accent1"/>
          </a:solid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LDH Lineweaver Burke Plot With Oxalate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529139464706333"/>
          <c:y val="0.11351555241158487"/>
          <c:w val="0.64215814551132611"/>
          <c:h val="0.77094257954597778"/>
        </c:manualLayout>
      </c:layout>
      <c:scatterChart>
        <c:scatterStyle val="lineMarker"/>
        <c:varyColors val="0"/>
        <c:ser>
          <c:idx val="0"/>
          <c:order val="0"/>
          <c:tx>
            <c:strRef>
              <c:f>'Inhib1_c3 together'!$A$1:$B$1</c:f>
              <c:strCache>
                <c:ptCount val="1"/>
                <c:pt idx="0">
                  <c:v>LDH - No I</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backward val="2000"/>
            <c:dispRSqr val="0"/>
            <c:dispEq val="0"/>
          </c:trendline>
          <c:xVal>
            <c:numRef>
              <c:f>'Inhib1_c3 together'!$A$3:$A$6</c:f>
              <c:numCache>
                <c:formatCode>General</c:formatCode>
                <c:ptCount val="4"/>
                <c:pt idx="0">
                  <c:v>142.045455</c:v>
                </c:pt>
                <c:pt idx="1">
                  <c:v>568.18181800000002</c:v>
                </c:pt>
                <c:pt idx="2">
                  <c:v>1136.36364</c:v>
                </c:pt>
                <c:pt idx="3">
                  <c:v>2272.7272699999999</c:v>
                </c:pt>
              </c:numCache>
            </c:numRef>
          </c:xVal>
          <c:yVal>
            <c:numRef>
              <c:f>'Inhib1_c3 together'!$B$3:$B$6</c:f>
              <c:numCache>
                <c:formatCode>General</c:formatCode>
                <c:ptCount val="4"/>
                <c:pt idx="0">
                  <c:v>17.743080200000001</c:v>
                </c:pt>
                <c:pt idx="1">
                  <c:v>22.999079999999999</c:v>
                </c:pt>
                <c:pt idx="2">
                  <c:v>31.446540899999999</c:v>
                </c:pt>
                <c:pt idx="3">
                  <c:v>98.619329399999998</c:v>
                </c:pt>
              </c:numCache>
            </c:numRef>
          </c:yVal>
          <c:smooth val="0"/>
          <c:extLst>
            <c:ext xmlns:c16="http://schemas.microsoft.com/office/drawing/2014/chart" uri="{C3380CC4-5D6E-409C-BE32-E72D297353CC}">
              <c16:uniqueId val="{00000001-7761-48B8-AF53-CBFB5C12413A}"/>
            </c:ext>
          </c:extLst>
        </c:ser>
        <c:ser>
          <c:idx val="2"/>
          <c:order val="1"/>
          <c:tx>
            <c:strRef>
              <c:f>'Inhib1_c3 together'!$D$1:$E$1</c:f>
              <c:strCache>
                <c:ptCount val="1"/>
                <c:pt idx="0">
                  <c:v>LDH - 0.5 I</c:v>
                </c:pt>
              </c:strCache>
            </c:strRef>
          </c:tx>
          <c:spPr>
            <a:ln w="25400" cap="rnd">
              <a:noFill/>
              <a:round/>
            </a:ln>
            <a:effectLst/>
          </c:spPr>
          <c:marker>
            <c:symbol val="circle"/>
            <c:size val="5"/>
            <c:spPr>
              <a:solidFill>
                <a:schemeClr val="accent3"/>
              </a:solidFill>
              <a:ln w="9525">
                <a:solidFill>
                  <a:schemeClr val="accent3"/>
                </a:solidFill>
              </a:ln>
              <a:effectLst/>
            </c:spPr>
          </c:marker>
          <c:trendline>
            <c:spPr>
              <a:ln w="19050" cap="rnd">
                <a:solidFill>
                  <a:schemeClr val="accent3"/>
                </a:solidFill>
                <a:prstDash val="sysDot"/>
              </a:ln>
              <a:effectLst/>
            </c:spPr>
            <c:trendlineType val="linear"/>
            <c:backward val="2000"/>
            <c:dispRSqr val="0"/>
            <c:dispEq val="0"/>
          </c:trendline>
          <c:xVal>
            <c:numRef>
              <c:f>'Inhib1_c3 together'!$D$3:$D$6</c:f>
              <c:numCache>
                <c:formatCode>General</c:formatCode>
                <c:ptCount val="4"/>
                <c:pt idx="0">
                  <c:v>142.04545454545456</c:v>
                </c:pt>
                <c:pt idx="1">
                  <c:v>568.18181818181824</c:v>
                </c:pt>
                <c:pt idx="2">
                  <c:v>1136.3636363636365</c:v>
                </c:pt>
                <c:pt idx="3">
                  <c:v>2272.727272727273</c:v>
                </c:pt>
              </c:numCache>
            </c:numRef>
          </c:xVal>
          <c:yVal>
            <c:numRef>
              <c:f>'Inhib1_c3 together'!$E$3:$E$6</c:f>
              <c:numCache>
                <c:formatCode>General</c:formatCode>
                <c:ptCount val="4"/>
                <c:pt idx="0">
                  <c:v>46.468401486988846</c:v>
                </c:pt>
                <c:pt idx="1">
                  <c:v>120.12012012012011</c:v>
                </c:pt>
                <c:pt idx="2">
                  <c:v>226.75736961451247</c:v>
                </c:pt>
                <c:pt idx="3">
                  <c:v>449.64028776978421</c:v>
                </c:pt>
              </c:numCache>
            </c:numRef>
          </c:yVal>
          <c:smooth val="0"/>
          <c:extLst>
            <c:ext xmlns:c16="http://schemas.microsoft.com/office/drawing/2014/chart" uri="{C3380CC4-5D6E-409C-BE32-E72D297353CC}">
              <c16:uniqueId val="{00000003-7761-48B8-AF53-CBFB5C12413A}"/>
            </c:ext>
          </c:extLst>
        </c:ser>
        <c:ser>
          <c:idx val="5"/>
          <c:order val="2"/>
          <c:tx>
            <c:strRef>
              <c:f>'Inhib1_c3 together'!$G$1:$H$1</c:f>
              <c:strCache>
                <c:ptCount val="1"/>
                <c:pt idx="0">
                  <c:v>LDH - 0.3 I</c:v>
                </c:pt>
              </c:strCache>
            </c:strRef>
          </c:tx>
          <c:spPr>
            <a:ln w="25400" cap="rnd">
              <a:noFill/>
              <a:round/>
            </a:ln>
            <a:effectLst/>
          </c:spPr>
          <c:marker>
            <c:symbol val="circle"/>
            <c:size val="5"/>
            <c:spPr>
              <a:solidFill>
                <a:schemeClr val="accent6"/>
              </a:solidFill>
              <a:ln w="9525">
                <a:solidFill>
                  <a:schemeClr val="accent6"/>
                </a:solidFill>
              </a:ln>
              <a:effectLst/>
            </c:spPr>
          </c:marker>
          <c:trendline>
            <c:spPr>
              <a:ln w="19050" cap="rnd">
                <a:solidFill>
                  <a:schemeClr val="accent6"/>
                </a:solidFill>
                <a:prstDash val="sysDot"/>
              </a:ln>
              <a:effectLst/>
            </c:spPr>
            <c:trendlineType val="linear"/>
            <c:backward val="2000"/>
            <c:dispRSqr val="0"/>
            <c:dispEq val="0"/>
          </c:trendline>
          <c:xVal>
            <c:numRef>
              <c:f>'Inhib1_c3 together'!$G$3:$G$6</c:f>
              <c:numCache>
                <c:formatCode>General</c:formatCode>
                <c:ptCount val="4"/>
                <c:pt idx="0">
                  <c:v>142.04545454545456</c:v>
                </c:pt>
                <c:pt idx="1">
                  <c:v>568.18181818181824</c:v>
                </c:pt>
                <c:pt idx="2">
                  <c:v>1136.3636363636365</c:v>
                </c:pt>
                <c:pt idx="3">
                  <c:v>2272.727272727273</c:v>
                </c:pt>
              </c:numCache>
            </c:numRef>
          </c:xVal>
          <c:yVal>
            <c:numRef>
              <c:f>'Inhib1_c3 together'!$H$3:$H$6</c:f>
              <c:numCache>
                <c:formatCode>General</c:formatCode>
                <c:ptCount val="4"/>
                <c:pt idx="0">
                  <c:v>77.942322681215899</c:v>
                </c:pt>
                <c:pt idx="1">
                  <c:v>88.652482269503551</c:v>
                </c:pt>
                <c:pt idx="2">
                  <c:v>146.64906877841324</c:v>
                </c:pt>
                <c:pt idx="3">
                  <c:v>163.23865491348351</c:v>
                </c:pt>
              </c:numCache>
            </c:numRef>
          </c:yVal>
          <c:smooth val="0"/>
          <c:extLst>
            <c:ext xmlns:c16="http://schemas.microsoft.com/office/drawing/2014/chart" uri="{C3380CC4-5D6E-409C-BE32-E72D297353CC}">
              <c16:uniqueId val="{00000005-7761-48B8-AF53-CBFB5C12413A}"/>
            </c:ext>
          </c:extLst>
        </c:ser>
        <c:ser>
          <c:idx val="8"/>
          <c:order val="3"/>
          <c:tx>
            <c:strRef>
              <c:f>'Inhib1_c3 together'!$J$1:$K$1</c:f>
              <c:strCache>
                <c:ptCount val="1"/>
                <c:pt idx="0">
                  <c:v>LDH - 0.1 I</c:v>
                </c:pt>
              </c:strCache>
            </c:strRef>
          </c:tx>
          <c:spPr>
            <a:ln w="25400" cap="rnd">
              <a:noFill/>
              <a:round/>
            </a:ln>
            <a:effectLst/>
          </c:spPr>
          <c:marker>
            <c:symbol val="circle"/>
            <c:size val="5"/>
            <c:spPr>
              <a:solidFill>
                <a:schemeClr val="accent3">
                  <a:lumMod val="60000"/>
                </a:schemeClr>
              </a:solidFill>
              <a:ln w="9525">
                <a:solidFill>
                  <a:schemeClr val="accent3">
                    <a:lumMod val="60000"/>
                  </a:schemeClr>
                </a:solidFill>
              </a:ln>
              <a:effectLst/>
            </c:spPr>
          </c:marker>
          <c:trendline>
            <c:spPr>
              <a:ln w="19050" cap="rnd">
                <a:solidFill>
                  <a:schemeClr val="accent3">
                    <a:lumMod val="60000"/>
                  </a:schemeClr>
                </a:solidFill>
                <a:prstDash val="sysDot"/>
              </a:ln>
              <a:effectLst/>
            </c:spPr>
            <c:trendlineType val="linear"/>
            <c:backward val="2000"/>
            <c:dispRSqr val="0"/>
            <c:dispEq val="0"/>
          </c:trendline>
          <c:xVal>
            <c:numRef>
              <c:f>'Inhib1_c3 together'!$J$3:$J$6</c:f>
              <c:numCache>
                <c:formatCode>General</c:formatCode>
                <c:ptCount val="4"/>
                <c:pt idx="0">
                  <c:v>142.04545454545456</c:v>
                </c:pt>
                <c:pt idx="1">
                  <c:v>568.18181818181824</c:v>
                </c:pt>
                <c:pt idx="2">
                  <c:v>1136.3636363636365</c:v>
                </c:pt>
                <c:pt idx="3">
                  <c:v>2272.727272727273</c:v>
                </c:pt>
              </c:numCache>
            </c:numRef>
          </c:xVal>
          <c:yVal>
            <c:numRef>
              <c:f>'Inhib1_c3 together'!$K$3:$K$6</c:f>
              <c:numCache>
                <c:formatCode>General</c:formatCode>
                <c:ptCount val="4"/>
                <c:pt idx="0">
                  <c:v>29.744199881023203</c:v>
                </c:pt>
                <c:pt idx="1">
                  <c:v>36.127167630057805</c:v>
                </c:pt>
                <c:pt idx="2">
                  <c:v>71.581961345740879</c:v>
                </c:pt>
                <c:pt idx="3">
                  <c:v>103.97171969224371</c:v>
                </c:pt>
              </c:numCache>
            </c:numRef>
          </c:yVal>
          <c:smooth val="0"/>
          <c:extLst>
            <c:ext xmlns:c16="http://schemas.microsoft.com/office/drawing/2014/chart" uri="{C3380CC4-5D6E-409C-BE32-E72D297353CC}">
              <c16:uniqueId val="{00000007-7761-48B8-AF53-CBFB5C12413A}"/>
            </c:ext>
          </c:extLst>
        </c:ser>
        <c:dLbls>
          <c:showLegendKey val="0"/>
          <c:showVal val="0"/>
          <c:showCatName val="0"/>
          <c:showSerName val="0"/>
          <c:showPercent val="0"/>
          <c:showBubbleSize val="0"/>
        </c:dLbls>
        <c:axId val="72319424"/>
        <c:axId val="1327262655"/>
      </c:scatterChart>
      <c:valAx>
        <c:axId val="7231942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400" b="0" i="0" u="none" strike="noStrike" kern="1200" baseline="0">
                    <a:solidFill>
                      <a:sysClr val="windowText" lastClr="000000">
                        <a:lumMod val="65000"/>
                        <a:lumOff val="35000"/>
                      </a:sysClr>
                    </a:solidFill>
                  </a:rPr>
                  <a:t>1/[S] (1/mol)</a:t>
                </a:r>
              </a:p>
            </c:rich>
          </c:tx>
          <c:layout>
            <c:manualLayout>
              <c:xMode val="edge"/>
              <c:yMode val="edge"/>
              <c:x val="0.37921814425366557"/>
              <c:y val="0.90867808340100986"/>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7262655"/>
        <c:crosses val="autoZero"/>
        <c:crossBetween val="midCat"/>
      </c:valAx>
      <c:valAx>
        <c:axId val="13272626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400" b="0" i="0" u="none" strike="noStrike" kern="1200" baseline="0">
                    <a:solidFill>
                      <a:sysClr val="windowText" lastClr="000000">
                        <a:lumMod val="65000"/>
                        <a:lumOff val="35000"/>
                      </a:sysClr>
                    </a:solidFill>
                  </a:rPr>
                  <a:t>1/Vo 1/(mol/sec)</a:t>
                </a:r>
              </a:p>
            </c:rich>
          </c:tx>
          <c:layout>
            <c:manualLayout>
              <c:xMode val="edge"/>
              <c:yMode val="edge"/>
              <c:x val="2.740745398742794E-2"/>
              <c:y val="0.31417421701211118"/>
            </c:manualLayout>
          </c:layout>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319424"/>
        <c:crosses val="autoZero"/>
        <c:crossBetween val="midCat"/>
      </c:valAx>
      <c:spPr>
        <a:noFill/>
        <a:ln>
          <a:noFill/>
        </a:ln>
        <a:effectLst/>
      </c:spPr>
    </c:plotArea>
    <c:legend>
      <c:legendPos val="r"/>
      <c:layout>
        <c:manualLayout>
          <c:xMode val="edge"/>
          <c:yMode val="edge"/>
          <c:x val="0.82104159995084836"/>
          <c:y val="0.14657866226725008"/>
          <c:w val="0.17133450863675631"/>
          <c:h val="0.70703042996745025"/>
        </c:manualLayout>
      </c:layout>
      <c:overlay val="0"/>
      <c:spPr>
        <a:noFill/>
        <a:ln>
          <a:solidFill>
            <a:schemeClr val="accent1"/>
          </a:solid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1494</TotalTime>
  <Pages>3</Pages>
  <Words>391</Words>
  <Characters>2232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Berlin, Ilana F</dc:creator>
  <cp:keywords/>
  <dc:description/>
  <cp:lastModifiedBy>Berlin, Ilana F</cp:lastModifiedBy>
  <cp:revision>6</cp:revision>
  <dcterms:created xsi:type="dcterms:W3CDTF">2025-11-19T22:56:00Z</dcterms:created>
  <dcterms:modified xsi:type="dcterms:W3CDTF">2025-11-21T02:30:00Z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2dee603-0001-4639-81f8-0608a53322f1_Enabled">
    <vt:lpwstr>true</vt:lpwstr>
  </property>
  <property fmtid="{D5CDD505-2E9C-101B-9397-08002B2CF9AE}" pid="3" name="MSIP_Label_f2dee603-0001-4639-81f8-0608a53322f1_SetDate">
    <vt:lpwstr>2025-11-19T23:03:24Z</vt:lpwstr>
  </property>
  <property fmtid="{D5CDD505-2E9C-101B-9397-08002B2CF9AE}" pid="4" name="MSIP_Label_f2dee603-0001-4639-81f8-0608a53322f1_Method">
    <vt:lpwstr>Standard</vt:lpwstr>
  </property>
  <property fmtid="{D5CDD505-2E9C-101B-9397-08002B2CF9AE}" pid="5" name="MSIP_Label_f2dee603-0001-4639-81f8-0608a53322f1_Name">
    <vt:lpwstr>defa4170-0d19-0005-0004-bc88714345d2</vt:lpwstr>
  </property>
  <property fmtid="{D5CDD505-2E9C-101B-9397-08002B2CF9AE}" pid="6" name="MSIP_Label_f2dee603-0001-4639-81f8-0608a53322f1_SiteId">
    <vt:lpwstr>b4478c05-3dd9-4e06-a7fb-5dcf72bd44ee</vt:lpwstr>
  </property>
  <property fmtid="{D5CDD505-2E9C-101B-9397-08002B2CF9AE}" pid="7" name="MSIP_Label_f2dee603-0001-4639-81f8-0608a53322f1_ActionId">
    <vt:lpwstr>d7e802cd-231a-4540-925d-60edf427c2f2</vt:lpwstr>
  </property>
  <property fmtid="{D5CDD505-2E9C-101B-9397-08002B2CF9AE}" pid="8" name="MSIP_Label_f2dee603-0001-4639-81f8-0608a53322f1_ContentBits">
    <vt:lpwstr>0</vt:lpwstr>
  </property>
  <property fmtid="{D5CDD505-2E9C-101B-9397-08002B2CF9AE}" pid="9" name="MSIP_Label_f2dee603-0001-4639-81f8-0608a53322f1_Tag">
    <vt:lpwstr>10, 3, 0, 1</vt:lpwstr>
  </property>
</Properties>
</file>