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i/>
          <w:i/>
          <w:sz w:val="24"/>
          <w:szCs w:val="24"/>
        </w:rPr>
      </w:pPr>
      <w:r>
        <w:rPr>
          <w:b/>
          <w:i/>
          <w:sz w:val="24"/>
          <w:szCs w:val="24"/>
        </w:rPr>
        <w:t xml:space="preserve">                                          </w:t>
      </w:r>
      <w:r>
        <w:rPr>
          <w:b/>
          <w:i/>
          <w:sz w:val="24"/>
          <w:szCs w:val="24"/>
        </w:rPr>
        <w:t>XII CURSO DE COMUNICACIÓN Y SALUD</w:t>
      </w:r>
    </w:p>
    <w:p>
      <w:pPr>
        <w:pStyle w:val="Normal"/>
        <w:jc w:val="center"/>
        <w:rPr>
          <w:b/>
          <w:i/>
          <w:i/>
          <w:sz w:val="24"/>
          <w:szCs w:val="24"/>
        </w:rPr>
      </w:pPr>
      <w:r>
        <w:rPr>
          <w:b/>
          <w:i/>
          <w:sz w:val="24"/>
          <w:szCs w:val="24"/>
        </w:rPr>
        <w:t>ENVEJECIMIENTO SALUDABLE</w:t>
      </w:r>
    </w:p>
    <w:p>
      <w:pPr>
        <w:pStyle w:val="Normal"/>
        <w:jc w:val="both"/>
        <w:rPr>
          <w:rFonts w:ascii="Calibri" w:hAnsi="Calibri"/>
        </w:rPr>
      </w:pPr>
      <w:r>
        <w:rPr>
          <w:rFonts w:ascii="Calibri" w:hAnsi="Calibri"/>
        </w:rPr>
        <w:t>Weber predijo el inminente tiempo de la “racionalidad instrumental” en que las vidas humanas transcurrirán atormentadas ante la tarea de elegir los fines en vez de preocuparse por encontrar los  medios para conseguir fines que no necesitan reflexión por lo tanto ningún pensamiento es inmune frente a la comunicación y manifestarlo en un lugar equivocado en mala compañía es suficiente para minar su verdad condenada a ser impotente o un poder condenado a no ser fiel a la verdad y aunque el sufrimiento es privado y personal un lenguaje privado es incongruente si pertenecen al lenguaje compartido como público y son comprendidos con mayor efectividad si las personas se comunican a través de él.</w:t>
      </w:r>
    </w:p>
    <w:p>
      <w:pPr>
        <w:pStyle w:val="Normal"/>
        <w:jc w:val="both"/>
        <w:rPr>
          <w:rFonts w:ascii="Calibri" w:hAnsi="Calibri"/>
        </w:rPr>
      </w:pPr>
      <w:r>
        <w:rPr>
          <w:rFonts w:ascii="Calibri" w:hAnsi="Calibri"/>
        </w:rPr>
        <w:t xml:space="preserve">El vacío de lugar está en el ojo de quien lo contempla son vacíos en los que nos sentiríamos perdidos y vulnerables sorprendidos y alarmados así como un poco asustados ante la vista de otros seres humanos en donde Albert Camus define al hombre que sufre por no poseer el mundo completamente que mide la distancia de nuestra parvedad de conocimientos hace confuso los detalles y borra todo por lo tanto es primordial </w:t>
      </w:r>
      <w:r>
        <w:rPr/>
        <w:t>en el logro de un envejecimiento saludable la integración en actividades de la comunidad donde se vive,  la disponibilidad de un confidente,  las relaciones familiares y  la continuidad del papel de miembro activo de la vida familiar como de las amistades así como de una verdadera competitividad y reciclaje continuo de conocimientos teóricos como prácticos para ellos como por parte de los cuidadores como auxiliares de enfermería que están construyendo y sustentado como apoyando  la vida diaria de los ancianos no solo para mantener su salud sino para lograr una vida final de envejecimiento vital sin mayores dependencias manteniendo este factor en la medida de lo posible y de cada una de las circunstancias individuales ya sea físicas, psíquicas también sensoriales que rodean al anciano ya que sin olvidarnos del estigma y el maltrato de las personas mayores pueden representar violaciones de sus derechos humanos básicos, como el derecho a la vida, a la integridad personal, a la dignidad, a la privacidad  como al goce del grado máximo de salud.</w:t>
      </w:r>
    </w:p>
    <w:p>
      <w:pPr>
        <w:pStyle w:val="Normal"/>
        <w:jc w:val="both"/>
        <w:rPr>
          <w:rFonts w:ascii="Calibri" w:hAnsi="Calibri"/>
        </w:rPr>
      </w:pPr>
      <w:r>
        <w:rPr>
          <w:rFonts w:ascii="Calibri" w:hAnsi="Calibri"/>
        </w:rPr>
        <w:t xml:space="preserve">Las organizaciones empresariales de geriatría son consideradas un intento permanente de crear una isla de adaptabilidad superior dentro de un  mundo múltiple, complejo y acelerado tanto por lo tanto ambiguo, deforme y plástico. La idea del estado de salud que en un principio debería ser claro para hacer y para alcanzar un estado de salud y protegerlo bajo condiciones que pensamos que puede considerarse sano o en qué punto de la terapia se ha recuperado la salud y ya no queda nada por hacer. Si en principio debería ser así la idea de enfermedad antes claramente circunscrita se vuelve cada vez más vaga y brumosa por lo tanto el cuidado de la salud se convierte en una guerra insensata en el envejecimiento con todo lo que supone la enfermedad. </w:t>
      </w:r>
    </w:p>
    <w:p>
      <w:pPr>
        <w:pStyle w:val="Normal"/>
        <w:jc w:val="both"/>
        <w:rPr>
          <w:rFonts w:ascii="Calibri" w:hAnsi="Calibri"/>
        </w:rPr>
      </w:pPr>
      <w:r>
        <w:rPr>
          <w:rFonts w:ascii="Calibri" w:hAnsi="Calibri"/>
        </w:rPr>
        <w:t xml:space="preserve">Es aquí donde los ancianos suelen compartir los espacios comunes físicos como una sala desde una perspectiva panóptica cuya exhibición sin mantener ningún tipo de relación humana en la que se tiene que tomar en cuenta para el análisis desde un punto de vista particular desde las </w:t>
      </w:r>
      <w:r>
        <w:rPr/>
        <w:t xml:space="preserve">relaciones intergeneracionales, tipos de envejecimiento, educación para toda la vida, actividad física y conducta sexual hasta el apoyo psicológico que encarece como endurece la vida de cada uno de los ancianos y que supone un contrapunto enorme para su envejecimiento </w:t>
      </w:r>
      <w:r>
        <w:rPr>
          <w:rFonts w:ascii="Calibri" w:hAnsi="Calibri"/>
        </w:rPr>
        <w:t xml:space="preserve">saludable. Los médicos y los formuladores de políticas deben entender que el envejecimiento afecta de manera diferente a las mujeres y a los hombres ya que este reconocimiento es crítico para asegurar la igualdad entre hombres y mujeres mayores así como para satisfacer adecuadamente sus diferentes necesidades físicas, mentales también  sociales ya que debido a la falta de personal médico como de tiempo en las instituciones geriátricas las personas mayores a menudo son abandonadas, ignoradas como maltratadas bajo el desconocimiento de su propio compendio humano de necesidad de asistencia personal. </w:t>
      </w:r>
    </w:p>
    <w:p>
      <w:pPr>
        <w:pStyle w:val="Normal"/>
        <w:jc w:val="both"/>
        <w:rPr>
          <w:rFonts w:ascii="Calibri" w:hAnsi="Calibri"/>
        </w:rPr>
      </w:pPr>
      <w:r>
        <w:rPr>
          <w:rFonts w:ascii="Calibri" w:hAnsi="Calibri"/>
        </w:rPr>
        <w:t xml:space="preserve">Estamos informados de todo pero no entendemos de nada ya sea por cuestiones especulativas, cuestiones prácticas bajo la esencia reveladora y ocultadora del lenguaje que exige ir más allá de la lógica enunciativa y buscar horizontes más amplios ya que si no lo hacemos nos hace retrasar la evaluación natural de las sociedades ya que la gente que vive del engaño es muy peligrosa porque manipula y esconde la verdad a su antojo bajo la falsa sabiduría de la prudencia con actos inútiles y sin propósito ya que existen también rasgos psicosociales que dan lugar a diferentes  tipos de envejecimiento como son el envejecimiento biológico, social y psicológico así 1 Norberto Bobbio (1997) nos incorpora una nueva expresión “envejecimiento cultural”, mientras que 2 Schirrmacher (2004) habla de “envejecimiento económico” que este último mucho influye en la calidad de vida como en la capacidad para sustentar como afrontar las necesidades inherentes a su propia naturaleza de envejecimiento saludable ya sea en un estado de total dependencia como no dependencia en un centro geriátrico o en su propio hogar  como de su  actividad física </w:t>
      </w:r>
      <w:r>
        <w:rPr/>
        <w:t>en formas apacibles que son las más adecuadas ya que el objetivo es mantener y tonificar la masa muscular de las personas de edad así como una</w:t>
      </w:r>
      <w:r>
        <w:rPr>
          <w:rFonts w:ascii="Calibri" w:hAnsi="Calibri"/>
        </w:rPr>
        <w:t xml:space="preserve"> dieta diaria que realmente alimente su organismo y fomente como mantenga su salud tanto en su hidratación como nutrición.</w:t>
      </w:r>
      <w:bookmarkStart w:id="0" w:name="_GoBack"/>
      <w:bookmarkEnd w:id="0"/>
    </w:p>
    <w:p>
      <w:pPr>
        <w:pStyle w:val="Normal"/>
        <w:jc w:val="both"/>
        <w:rPr>
          <w:rFonts w:ascii="Calibri" w:hAnsi="Calibri"/>
        </w:rPr>
      </w:pPr>
      <w:r>
        <w:rPr>
          <w:rFonts w:ascii="Calibri" w:hAnsi="Calibri"/>
        </w:rPr>
        <w:t>Las identidades de los ancianos bajo el conocimiento y el saber cómo la percepción de su ayuda humana así también técnica  únicamente parecen estables y sólidas cuando se ven en un destello desde fuera ya que cuando se las contempla desde el interior desde la propia existencia biográfica toda solidez parece frágil, vulnerable y constantemente desgarrada por fuerzas cortantes que dejan al desnudo su fluidez  como por corrientes cruzadas de inoperancia como ignorancia profesional que amenazan con despedazarla y con llevarse consigo cualquier forma saludable que pudiera haber cobrado. Por lo tanto esto proporciona nuevas pragmáticas de entendimiento como de comprensión así como nuevas maneras de explorar los límites  comprometiéndonos a la acción y sin que los ancianos en su envejecimiento saludable sufran las consecuencias como lo define 3 Platón en la República ante la perspectiva de su conocimiento racional: “Aplica ahora a estas cuatro clases de objetos sensibles e inteligibles cuatro diferentes operaciones del alma, a saber: a la primera clase, la pura inteligencia; a la segunda, el conocimiento razonado; a la tercera, la fe; y a la cuarta, la conjetura; y concede a cada una de estas maneras de conocer más o menos evidencia, según que sus objetos participen más o menos de la verdad.” 3 (Platón, c. 390-370 a. C./1972, República, 511d).</w:t>
      </w:r>
    </w:p>
    <w:p>
      <w:pPr>
        <w:pStyle w:val="Normal"/>
        <w:jc w:val="both"/>
        <w:rPr>
          <w:rFonts w:ascii="Calibri" w:hAnsi="Calibri"/>
        </w:rPr>
      </w:pPr>
      <w:r>
        <w:rPr>
          <w:rFonts w:ascii="Calibri" w:hAnsi="Calibri"/>
        </w:rPr>
        <w:t>Las imágenes poderosas más reales que la realidad de las ubicuas pantallas establecen los estándares de la realidad y de su evaluación y condicionan la necesidad de hacer más agradable la realidad la vivida con trampas simbólicas y herramientas falsas de los esfuerzos  de identificar que tienden a lograr que el individuo ya anciano desconfíe de su propio juicio incluso en cuestiones de gusto por lo tanto las preferencias profesionales no guiadas pueden resultar anticuadas por lo tanto necesitan de un constante perfeccionamiento en que en realidad no se ha realizado la entrega de soluciones a la gente mayor sino la gente a las soluciones es decir que su carácter y sensibilidad de las personas han sido rebajados de acomodarlos aproximadamente como raros productos de sensaciones y experimentos olvidando que lo propio del alma es el pensamiento, al igual que lo propio del cuerpo es la sensación. “Porque entre todos los seres el único a quien le corresponde poseer la inteligencia es al alma” 4 (Platón, c. 360-359 a. C./1972, Timeo, 47c)  cuya adecuación da forma y significado a sus vidas bajo condiciones inestables que están afianzando la construcción de identidades cada vez más inestables que tienden sus conductas obedientes a establecerse por medio de la seducción y no de la coerción bajo el disfraz de la propia voluntad en donde significa el mundo de los ancianos un depósito desbordante de productos de consumo.</w:t>
      </w:r>
    </w:p>
    <w:p>
      <w:pPr>
        <w:pStyle w:val="Normal"/>
        <w:jc w:val="both"/>
        <w:rPr>
          <w:rFonts w:ascii="Calibri" w:hAnsi="Calibri"/>
        </w:rPr>
      </w:pPr>
      <w:r>
        <w:rPr>
          <w:rFonts w:ascii="Calibri" w:hAnsi="Calibri"/>
        </w:rPr>
        <w:t xml:space="preserve">Como esta tarea nos compete a todos debería ser llevada a cabo individualmente y en condiciones muy distintas divide las competencias humanas e insta a una competencia despiadada en vez de unificar una condición humana que tienda a generar cooperación y solidaridad. El alma racional fue creada directamente por el demiurgo, se aloja en el cerebro y tiene el cometido de dirigir las funciones superiores del hombre. Al ser de naturaleza divina e inmortal, permite al ser humano ponerse en comunicación con el mundo ideal. La relación entre la racionalidad humana —en sus dos modalidades— y el mundo inteligible, se pone de manifiesto en el siguiente párrafo del Timeo de  5 Platón (c. 360-359 a.C./1972, 28c): “Al tener los razonamientos un parentesco con los mismos objetos que explican, los razonamientos que, por una parte, se refieren a lo que permanece, a lo que es fijo y traslúcido para el entendimiento, deben ser fijos  como no destituibles y, en la medida en que es posible en los razonamientos del ser, deben ser irrefutables e irrebatibles. Y no ha de dejar de cumplir ni una sola de estas condiciones. En cuanto a los razonamientos que se refieren a lo que es copia del ser que hemos dicho, y que por tanto no es sino una imagen del ser, serán verosímiles proporcionalmente a la verdad de los primeros.” </w:t>
      </w:r>
    </w:p>
    <w:p>
      <w:pPr>
        <w:pStyle w:val="Normal"/>
        <w:jc w:val="both"/>
        <w:rPr/>
      </w:pPr>
      <w:r>
        <w:rPr>
          <w:rFonts w:ascii="Calibri" w:hAnsi="Calibri"/>
        </w:rPr>
        <w:t xml:space="preserve">Por lo tanto pensamos que </w:t>
      </w:r>
      <w:r>
        <w:rPr/>
        <w:t>los medios de comunicación tienen una gran responsabilidad y una enorme deuda con la sociedad ya que deben aclarar todo los mitos dañinos como desconocidos sobre las personas mayores promoviendo imágenes que muestran a las mismas en todas sus facetas productivas dentro de la realidad social que cuidan de sí mismas por lo tanto contribuyen al bienestar de distintas maneras al desarrollo de la social  realidad y  como apoyo insustituible de todas las familias de sus respectivos  entorno así como también deben proporcionar una cobertura responsable de la verdadera perspectiva desde el enfoque del conocimiento como del saber de los  verdaderos problemas que rodean el maltrato, el abandono y los derechos humanos de las personas mayores. Incluimos a 6 Solón que defendía en el siglo VII antes de Cristo que lograr una vejez saludable “pasa por tener proyectos y planes de futuro”, además de “aprender algo cada día”.</w:t>
      </w:r>
    </w:p>
    <w:p>
      <w:pPr>
        <w:pStyle w:val="Normal"/>
        <w:jc w:val="both"/>
        <w:rPr/>
      </w:pPr>
      <w:r>
        <w:rPr/>
        <w:t>Para finalizar en la tesis de 7 Cicerón reflejada en su famoso párrafo VI, parágrafo 17  surgen otra perspectiva de análisis que debemos tomar en cuenta para la proyección de la sabiduría como un importante rasgo psicosocial de una educación para toda la vida de los demás dentro de cualquier sociedad y que nos encontramos alrededor de nuestros ancianos: “ No es con la fuerza corporal, la agilidad o la rapidez como se hacen las grandes cosas, sino por medio del pensamiento, la superioridad de la mente y la preeminencia de la propia opinión, cualidades de las que la vejez no sólo no se ve despojada, sino de las que se suele encontrar enriquecida en mayor medida que antes…” (Cicerón, 2001)</w:t>
      </w:r>
    </w:p>
    <w:p>
      <w:pPr>
        <w:pStyle w:val="Normal"/>
        <w:jc w:val="both"/>
        <w:rPr>
          <w:rFonts w:ascii="Calibri" w:hAnsi="Calibri"/>
        </w:rPr>
      </w:pPr>
      <w:r>
        <w:rPr>
          <w:rFonts w:ascii="Calibri" w:hAnsi="Calibri"/>
        </w:rPr>
      </w:r>
    </w:p>
    <w:p>
      <w:pPr>
        <w:pStyle w:val="Normal"/>
        <w:jc w:val="both"/>
        <w:rPr>
          <w:rFonts w:ascii="Calibri" w:hAnsi="Calibri"/>
        </w:rPr>
      </w:pPr>
      <w:r>
        <w:rPr>
          <w:rFonts w:ascii="Calibri" w:hAnsi="Calibri"/>
        </w:rPr>
      </w:r>
    </w:p>
    <w:p>
      <w:pPr>
        <w:pStyle w:val="Normal"/>
        <w:rPr>
          <w:rFonts w:ascii="Calibri" w:hAnsi="Calibri"/>
          <w:b/>
          <w:i/>
          <w:i/>
        </w:rPr>
      </w:pPr>
      <w:r>
        <w:rPr>
          <w:rFonts w:ascii="Calibri" w:hAnsi="Calibri"/>
          <w:b/>
          <w:i/>
        </w:rPr>
        <w:t>Bibliografía</w:t>
      </w:r>
    </w:p>
    <w:p>
      <w:pPr>
        <w:pStyle w:val="ListParagraph"/>
        <w:numPr>
          <w:ilvl w:val="0"/>
          <w:numId w:val="1"/>
        </w:numPr>
        <w:jc w:val="both"/>
        <w:rPr>
          <w:rFonts w:ascii="Calibri" w:hAnsi="Calibri"/>
        </w:rPr>
      </w:pPr>
      <w:r>
        <w:rPr>
          <w:rFonts w:ascii="Calibri" w:hAnsi="Calibri"/>
        </w:rPr>
        <w:t>BOBBIO, N. (1997). De Senectute y otros escritos biográficos. Madrid: Taurus</w:t>
      </w:r>
    </w:p>
    <w:p>
      <w:pPr>
        <w:pStyle w:val="ListParagraph"/>
        <w:numPr>
          <w:ilvl w:val="0"/>
          <w:numId w:val="1"/>
        </w:numPr>
        <w:jc w:val="both"/>
        <w:rPr>
          <w:rFonts w:ascii="Calibri" w:hAnsi="Calibri"/>
        </w:rPr>
      </w:pPr>
      <w:r>
        <w:rPr>
          <w:rFonts w:ascii="Calibri" w:hAnsi="Calibri"/>
        </w:rPr>
        <w:t>SCHIRRMACHER, F. (2004). El complot de Matusalén. Madrid: Taurus.</w:t>
      </w:r>
    </w:p>
    <w:p>
      <w:pPr>
        <w:pStyle w:val="ListParagraph"/>
        <w:numPr>
          <w:ilvl w:val="0"/>
          <w:numId w:val="1"/>
        </w:numPr>
        <w:jc w:val="both"/>
        <w:rPr>
          <w:rFonts w:ascii="Calibri" w:hAnsi="Calibri"/>
        </w:rPr>
      </w:pPr>
      <w:r>
        <w:rPr>
          <w:rFonts w:cs="Arial" w:ascii="Calibri" w:hAnsi="Calibri"/>
          <w:color w:val="222222"/>
          <w:shd w:fill="FFFFFF" w:val="clear"/>
        </w:rPr>
        <w:t xml:space="preserve">Solón </w:t>
      </w:r>
      <w:r>
        <w:rPr>
          <w:rFonts w:cs="Arial" w:ascii="Calibri" w:hAnsi="Calibri"/>
          <w:shd w:fill="FFFFFF" w:val="clear"/>
        </w:rPr>
        <w:t>(en</w:t>
      </w:r>
      <w:r>
        <w:rPr>
          <w:rStyle w:val="apple-converted-space"/>
          <w:rFonts w:cs="Arial" w:ascii="Calibri" w:hAnsi="Calibri"/>
          <w:shd w:fill="FFFFFF" w:val="clear"/>
        </w:rPr>
        <w:t> </w:t>
      </w:r>
      <w:hyperlink r:id="rId2" w:tooltip="Idioma griego">
        <w:r>
          <w:rPr>
            <w:rStyle w:val="Hyperlink"/>
            <w:rFonts w:cs="Arial" w:ascii="Calibri" w:hAnsi="Calibri"/>
            <w:color w:val="000000"/>
            <w:u w:val="none"/>
            <w:shd w:fill="FFFFFF" w:val="clear"/>
          </w:rPr>
          <w:t>griego</w:t>
        </w:r>
      </w:hyperlink>
      <w:r>
        <w:rPr>
          <w:rStyle w:val="apple-converted-space"/>
          <w:rFonts w:cs="Arial" w:ascii="Calibri" w:hAnsi="Calibri"/>
          <w:shd w:fill="FFFFFF" w:val="clear"/>
        </w:rPr>
        <w:t> </w:t>
      </w:r>
      <w:r>
        <w:rPr>
          <w:rFonts w:cs="Arial" w:ascii="Calibri" w:hAnsi="Calibri"/>
          <w:shd w:fill="FFFFFF" w:val="clear"/>
        </w:rPr>
        <w:t>Σόλων) (</w:t>
      </w:r>
      <w:hyperlink r:id="rId3" w:tooltip="Circa">
        <w:r>
          <w:rPr>
            <w:rStyle w:val="Hyperlink"/>
            <w:rFonts w:cs="Arial" w:ascii="Calibri" w:hAnsi="Calibri"/>
            <w:color w:val="000000"/>
            <w:u w:val="none"/>
            <w:shd w:fill="FFFFFF" w:val="clear"/>
          </w:rPr>
          <w:t>c.</w:t>
        </w:r>
      </w:hyperlink>
      <w:r>
        <w:rPr>
          <w:rStyle w:val="apple-converted-space"/>
          <w:rFonts w:cs="Arial" w:ascii="Calibri" w:hAnsi="Calibri"/>
          <w:shd w:fill="FFFFFF" w:val="clear"/>
        </w:rPr>
        <w:t> </w:t>
      </w:r>
      <w:hyperlink r:id="rId4" w:tooltip="638 a. C.">
        <w:r>
          <w:rPr>
            <w:rStyle w:val="Hyperlink"/>
            <w:rFonts w:cs="Arial" w:ascii="Calibri" w:hAnsi="Calibri"/>
            <w:color w:val="000000"/>
            <w:u w:val="none"/>
            <w:shd w:fill="FFFFFF" w:val="clear"/>
          </w:rPr>
          <w:t>638 a. C.</w:t>
        </w:r>
      </w:hyperlink>
      <w:hyperlink r:id="rId5" w:tooltip="558 a. C.">
        <w:r>
          <w:rPr>
            <w:rStyle w:val="Hyperlink"/>
            <w:rFonts w:cs="Arial" w:ascii="Calibri" w:hAnsi="Calibri"/>
            <w:color w:val="000000"/>
            <w:u w:val="none"/>
            <w:shd w:fill="FFFFFF" w:val="clear"/>
          </w:rPr>
          <w:t>558 a. C.</w:t>
        </w:r>
      </w:hyperlink>
      <w:r>
        <w:rPr>
          <w:rFonts w:ascii="Calibri" w:hAnsi="Calibri"/>
        </w:rPr>
        <w:t>) fue un poeta, reformador político, legislador y estadista ateniense, considerado uno de los siete sabios de Grecia.</w:t>
      </w:r>
    </w:p>
    <w:p>
      <w:pPr>
        <w:pStyle w:val="ListParagraph"/>
        <w:numPr>
          <w:ilvl w:val="0"/>
          <w:numId w:val="1"/>
        </w:numPr>
        <w:jc w:val="both"/>
        <w:rPr>
          <w:rFonts w:ascii="Calibri" w:hAnsi="Calibri"/>
        </w:rPr>
      </w:pPr>
      <w:r>
        <w:rPr>
          <w:rFonts w:ascii="Calibri" w:hAnsi="Calibri"/>
        </w:rPr>
        <w:t>Platón (1972). Obras. Madrid: Aguilar.</w:t>
      </w:r>
    </w:p>
    <w:p>
      <w:pPr>
        <w:pStyle w:val="ListParagraph"/>
        <w:numPr>
          <w:ilvl w:val="0"/>
          <w:numId w:val="1"/>
        </w:numPr>
        <w:jc w:val="both"/>
        <w:rPr>
          <w:rFonts w:ascii="Calibri" w:hAnsi="Calibri"/>
        </w:rPr>
      </w:pPr>
      <w:r>
        <w:rPr>
          <w:rFonts w:ascii="Calibri" w:hAnsi="Calibri"/>
        </w:rPr>
        <w:t>CICERON, M.T. (2001). De Senectute. Madrid: Triacastela página 153</w:t>
      </w:r>
    </w:p>
    <w:p>
      <w:pPr>
        <w:pStyle w:val="Normal"/>
        <w:jc w:val="both"/>
        <w:rPr>
          <w:rFonts w:ascii="Calibri" w:hAnsi="Calibri"/>
        </w:rPr>
      </w:pPr>
      <w:r>
        <w:rPr>
          <w:rFonts w:ascii="Calibri" w:hAnsi="Calibri"/>
        </w:rPr>
      </w:r>
    </w:p>
    <w:p>
      <w:pPr>
        <w:pStyle w:val="Normal"/>
        <w:jc w:val="both"/>
        <w:rPr>
          <w:b/>
          <w:i/>
          <w:i/>
        </w:rPr>
      </w:pPr>
      <w:r>
        <w:rPr>
          <w:b/>
          <w:i/>
        </w:rPr>
        <w:t>Gracias.</w:t>
      </w:r>
    </w:p>
    <w:p>
      <w:pPr>
        <w:pStyle w:val="Normal"/>
        <w:jc w:val="both"/>
        <w:rPr>
          <w:b/>
          <w:i/>
          <w:i/>
        </w:rPr>
      </w:pPr>
      <w:r>
        <w:rPr>
          <w:b/>
          <w:i/>
        </w:rPr>
      </w:r>
    </w:p>
    <w:p>
      <w:pPr>
        <w:pStyle w:val="Normal"/>
        <w:jc w:val="both"/>
        <w:rPr>
          <w:b/>
          <w:i/>
          <w:i/>
        </w:rPr>
      </w:pPr>
      <w:r>
        <w:rPr>
          <w:b/>
          <w:i/>
        </w:rPr>
        <w:t>ILEANA ADUM RODRÍGUEZ</w:t>
      </w:r>
    </w:p>
    <w:p>
      <w:pPr>
        <w:pStyle w:val="Normal"/>
        <w:jc w:val="both"/>
        <w:rPr>
          <w:b/>
          <w:i/>
          <w:i/>
        </w:rPr>
      </w:pPr>
      <w:r>
        <w:rPr>
          <w:b/>
          <w:i/>
        </w:rPr>
        <w:t>DOCTORADO</w:t>
      </w:r>
    </w:p>
    <w:p>
      <w:pPr>
        <w:pStyle w:val="Normal"/>
        <w:jc w:val="both"/>
        <w:rPr>
          <w:b/>
          <w:i/>
          <w:i/>
        </w:rPr>
      </w:pPr>
      <w:r>
        <w:rPr>
          <w:b/>
          <w:i/>
        </w:rPr>
        <w:t>DEPARTAMENTO DE COMUNICACIÓN AUDIOVISUAL, PUBLICIDAD Y RELACIONES PÚBLICAS II</w:t>
      </w:r>
    </w:p>
    <w:p>
      <w:pPr>
        <w:pStyle w:val="Normal"/>
        <w:jc w:val="both"/>
        <w:rPr>
          <w:b/>
          <w:i/>
          <w:i/>
        </w:rPr>
      </w:pPr>
      <w:r>
        <w:rPr>
          <w:b/>
          <w:i/>
        </w:rPr>
        <w:t>TUTOR DOCTOR UBALDO CUESTA CAMBRA</w:t>
      </w:r>
    </w:p>
    <w:p>
      <w:pPr>
        <w:pStyle w:val="Normal"/>
        <w:jc w:val="both"/>
        <w:rPr>
          <w:b/>
          <w:i/>
          <w:i/>
        </w:rPr>
      </w:pPr>
      <w:r>
        <w:rPr>
          <w:b/>
          <w:i/>
        </w:rPr>
        <w:t>DIRECTOR ALFONSO JAVIER FERNÁNDEZ DEL MORAL</w:t>
      </w:r>
    </w:p>
    <w:p>
      <w:pPr>
        <w:pStyle w:val="Normal"/>
        <w:spacing w:before="0" w:after="200"/>
        <w:jc w:val="both"/>
        <w:rPr>
          <w:rFonts w:ascii="Calibri" w:hAnsi="Calibri"/>
        </w:rPr>
      </w:pPr>
      <w:r>
        <w:rPr>
          <w:rFonts w:ascii="Calibri" w:hAnsi="Calibri"/>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alibri">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1c4d6b"/>
    <w:rPr/>
  </w:style>
  <w:style w:type="character" w:styleId="Hyperlink">
    <w:name w:val="Hyperlink"/>
    <w:basedOn w:val="DefaultParagraphFont"/>
    <w:uiPriority w:val="99"/>
    <w:semiHidden/>
    <w:unhideWhenUsed/>
    <w:rsid w:val="001c4d6b"/>
    <w:rPr>
      <w:color w:val="0000FF"/>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basedOn w:val="Normal"/>
    <w:uiPriority w:val="34"/>
    <w:qFormat/>
    <w:rsid w:val="00cf344a"/>
    <w:pPr>
      <w:spacing w:before="0" w:after="200"/>
      <w:ind w:left="720"/>
      <w:contextualSpacing/>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s.wikipedia.org/wiki/Idioma_griego" TargetMode="External"/><Relationship Id="rId3" Type="http://schemas.openxmlformats.org/officeDocument/2006/relationships/hyperlink" Target="https://es.wikipedia.org/wiki/Circa" TargetMode="External"/><Relationship Id="rId4" Type="http://schemas.openxmlformats.org/officeDocument/2006/relationships/hyperlink" Target="https://es.wikipedia.org/wiki/638_a._C." TargetMode="External"/><Relationship Id="rId5" Type="http://schemas.openxmlformats.org/officeDocument/2006/relationships/hyperlink" Target="https://es.wikipedia.org/wiki/558_a._C."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LibreOffice/25.2.5.2$Windows_X86_64 LibreOffice_project/03d19516eb2e1dd5d4ccd751a0d6f35f35e08022</Application>
  <AppVersion>15.0000</AppVersion>
  <Pages>2</Pages>
  <Words>1939</Words>
  <Characters>9954</Characters>
  <CharactersWithSpaces>11932</CharactersWithSpaces>
  <Paragraphs>24</Paragraphs>
  <Company>UCM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2017-04-07T11:07:00Z</dcterms:created>
  <dc:creator>perfil</dc:creator>
  <dc:description/>
  <dc:language>es-ES</dc:language>
  <cp:lastModifiedBy>perfil</cp:lastModifiedBy>
  <dcterms:modified xsi:type="dcterms:W3CDTF">2017-04-07T11:07:00Z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