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  <w:jc w:val="center"/>
      </w:pPr>
      <w:r>
        <w:rPr>
          <w:rFonts w:ascii="Aptos Display" w:hAnsi="Aptos Display"/>
          <w:b/>
          <w:color w:val="1E3B27"/>
          <w:sz w:val="84"/>
        </w:rPr>
        <w:t>ARTLINE</w:t>
      </w:r>
    </w:p>
    <w:p>
      <w:pPr>
        <w:jc w:val="center"/>
      </w:pPr>
      <w:r>
        <w:rPr>
          <w:rFonts w:ascii="Aptos Display" w:hAnsi="Aptos Display"/>
          <w:color w:val="557A5B"/>
          <w:sz w:val="46"/>
        </w:rPr>
        <w:t>Design System 1.1</w:t>
      </w:r>
    </w:p>
    <w:p>
      <w:pPr>
        <w:jc w:val="center"/>
      </w:pPr>
      <w:r>
        <w:rPr>
          <w:color w:val="111111"/>
          <w:sz w:val="22"/>
        </w:rPr>
        <w:t>Identidade visual, componentes e padrões de aplicação</w:t>
      </w:r>
    </w:p>
    <w:p>
      <w:pPr/>
      <w:r>
        <w:rPr>
          <w:i/>
        </w:rPr>
        <w:t>Nomenclatura revisada: on-light para fundos claros e on-dark para fundos escuros.</w:t>
      </w:r>
    </w:p>
    <w:p>
      <w:pPr>
        <w:jc w:val="center"/>
      </w:pPr>
      <w:r>
        <w:rPr>
          <w:color w:val="557A5B"/>
          <w:sz w:val="18"/>
        </w:rPr>
        <w:t>Versão 1.1 - julho de 2026</w:t>
      </w:r>
      <w:r/>
      <w:r>
        <w:br w:type="page"/>
      </w:r>
    </w:p>
    <w:p>
      <w:pPr>
        <w:spacing w:before="200" w:after="120"/>
      </w:pPr>
      <w:r>
        <w:rPr>
          <w:rFonts w:ascii="Aptos Display" w:hAnsi="Aptos Display"/>
          <w:b/>
          <w:color w:val="1E3B27"/>
          <w:sz w:val="48"/>
        </w:rPr>
        <w:t>1. Fundamentos da marca</w:t>
      </w:r>
    </w:p>
    <w:p>
      <w:pPr>
        <w:pStyle w:val="Subtitle"/>
        <w:spacing w:after="200"/>
      </w:pPr>
      <w:r>
        <w:rPr>
          <w:color w:val="557A5B"/>
        </w:rPr>
        <w:t>O Artline une arte, precisão, conhecimento técnico e tecnologia.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4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1E3B27"/>
              </w:rPr>
              <w:t>Princípio visual</w:t>
            </w:r>
          </w:p>
          <w:p>
            <w:pPr>
              <w:spacing w:after="0"/>
            </w:pPr>
            <w:r>
              <w:t>A identidade deve transmitir clareza, sofisticação, confiança e precisão. O sistema visual precisa funcionar tanto em telas quanto em documentos técnicos e materiais de produção.</w:t>
            </w:r>
          </w:p>
        </w:tc>
      </w:tr>
    </w:tbl>
    <w:p>
      <w:pPr>
        <w:pStyle w:val="Heading2"/>
      </w:pPr>
      <w:r>
        <w:t>1.1 Personalidade</w:t>
      </w:r>
    </w:p>
    <w:p>
      <w:pPr>
        <w:pStyle w:val="ListBullet"/>
        <w:spacing w:after="40"/>
      </w:pPr>
      <w:r>
        <w:t>Minimalista, sem excesso de elementos decorativos.</w:t>
      </w:r>
    </w:p>
    <w:p>
      <w:pPr>
        <w:pStyle w:val="ListBullet"/>
        <w:spacing w:after="40"/>
      </w:pPr>
      <w:r>
        <w:t>Técnica e confiável, adequada a um sistema profissional.</w:t>
      </w:r>
    </w:p>
    <w:p>
      <w:pPr>
        <w:pStyle w:val="ListBullet"/>
        <w:spacing w:after="40"/>
      </w:pPr>
      <w:r>
        <w:t>Artística, sem parecer uma molduraria tradicional.</w:t>
      </w:r>
    </w:p>
    <w:p>
      <w:pPr>
        <w:pStyle w:val="ListBullet"/>
        <w:spacing w:after="40"/>
      </w:pPr>
      <w:r>
        <w:t>Humana e didática, alinhada às Orientações do Mestre.</w:t>
      </w:r>
    </w:p>
    <w:p>
      <w:pPr>
        <w:pStyle w:val="ListBullet"/>
        <w:spacing w:after="40"/>
      </w:pPr>
      <w:r>
        <w:t>Durável: deve continuar atual mesmo após mudanças tecnológicas.</w:t>
      </w:r>
    </w:p>
    <w:p>
      <w:pPr>
        <w:pStyle w:val="Heading2"/>
      </w:pPr>
      <w:r>
        <w:t>1.2 Assinatura conceitual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8F4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1E3B27"/>
              </w:rPr>
              <w:t>Posicionamento</w:t>
            </w:r>
          </w:p>
          <w:p>
            <w:pPr>
              <w:spacing w:after="0"/>
            </w:pPr>
            <w:r>
              <w:t>O Artline não é apenas um sistema de orçamento. É uma plataforma de gestão do conhecimento aplicada ao emolduramento profissional.</w:t>
            </w:r>
          </w:p>
        </w:tc>
      </w:tr>
    </w:tbl>
    <w:p>
      <w:pPr>
        <w:spacing w:before="200" w:after="120"/>
      </w:pPr>
      <w:r>
        <w:rPr>
          <w:rFonts w:ascii="Aptos Display" w:hAnsi="Aptos Display"/>
          <w:b/>
          <w:color w:val="1E3B27"/>
          <w:sz w:val="48"/>
        </w:rPr>
        <w:t>2. Sistema de logotipos</w:t>
      </w:r>
    </w:p>
    <w:p>
      <w:pPr>
        <w:pStyle w:val="Subtitle"/>
        <w:spacing w:after="200"/>
      </w:pPr>
      <w:r>
        <w:rPr>
          <w:color w:val="557A5B"/>
        </w:rPr>
        <w:t>Uma identidade, várias aplicações controladas.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944"/>
            <w:shd w:fill="1E3B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Ativo</w:t>
            </w:r>
          </w:p>
        </w:tc>
        <w:tc>
          <w:tcPr>
            <w:tcW w:type="dxa" w:w="3096"/>
            <w:shd w:fill="1E3B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Nome do arquivo</w:t>
            </w:r>
          </w:p>
        </w:tc>
        <w:tc>
          <w:tcPr>
            <w:tcW w:type="dxa" w:w="1584"/>
            <w:shd w:fill="1E3B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Tamanho mestre</w:t>
            </w:r>
          </w:p>
        </w:tc>
        <w:tc>
          <w:tcPr>
            <w:tcW w:type="dxa" w:w="3600"/>
            <w:shd w:fill="1E3B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Uso principal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Logo principal para fundo escuro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artline-logo-primary-on-dark.png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1600 x 600 px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Login, splash, apresentações e capas digitais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Logo principal para fundo claro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artline-logo-primary-on-light.png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1600 x 600 px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Documentos, PDFs, e-mails e impressão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Wordmark para fundo claro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artline-wordmark-on-light.png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1200 x 400 px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Cabeçalhos claros, PDFs, orçamento e OS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Wordmark para fundo escuro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artline-wordmark-on-dark.png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1200 x 400 px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Sidebar e cabeçalhos escuros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Tile quadrado escuro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artline-tile-dark.png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1024 x 1024 px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Cards, perfis, GitHub, Vercel e social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Tile quadrado claro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artline-tile-light.png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1024 x 1024 px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Fundos claros e materiais institucionais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Símbolo para fundo escuro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artline-symbol-on-dark.png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512 x 512 px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Favicon, PWA, menu recolhido e avatar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Símbolo para fundo claro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artline-symbol-on-light.png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512 x 512 px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Fundos claros e impressos compactos</w:t>
            </w:r>
          </w:p>
        </w:tc>
      </w:tr>
    </w:tbl>
    <w:p>
      <w:pPr>
        <w:pStyle w:val="Heading2"/>
      </w:pPr>
      <w:r>
        <w:t>2.1 Símbolo oficial</w:t>
      </w:r>
    </w:p>
    <w:p>
      <w:r>
        <w:rPr>
          <w:b/>
          <w:color w:val="1E3B27"/>
          <w:sz w:val="68"/>
        </w:rPr>
        <w:t>◖|</w:t>
      </w:r>
      <w:r>
        <w:t xml:space="preserve">  O símbolo reduzido combina o elemento inicial da marca com a linha vertical. Ele deve ser usado quando não houver espaço suficiente para o logotipo completo.</w:t>
      </w:r>
    </w:p>
    <w:p>
      <w:pPr>
        <w:pStyle w:val="Heading2"/>
      </w:pPr>
      <w:r>
        <w:t>2.2 Área de proteção</w:t>
      </w:r>
    </w:p>
    <w:p>
      <w:r>
        <w:t>Mantenha ao redor do logotipo uma área livre mínima equivalente à altura da letra “a”. Nenhum texto, borda, fotografia ou ícone deve invadir essa área.</w:t>
      </w:r>
    </w:p>
    <w:p>
      <w:pPr>
        <w:pStyle w:val="Heading2"/>
      </w:pPr>
      <w:r>
        <w:t>2.3 Tamanho mínimo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608"/>
            <w:shd w:fill="1E3B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Aplicação</w:t>
            </w:r>
          </w:p>
        </w:tc>
        <w:tc>
          <w:tcPr>
            <w:tcW w:type="dxa" w:w="4608"/>
            <w:shd w:fill="1E3B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Mínimo recomendado</w:t>
            </w:r>
          </w:p>
        </w:tc>
      </w:tr>
      <w:tr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Logo completo em tela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140 px de largura</w:t>
            </w:r>
          </w:p>
        </w:tc>
      </w:tr>
      <w:tr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Logo completo em impressão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35 mm de largura</w:t>
            </w:r>
          </w:p>
        </w:tc>
      </w:tr>
      <w:tr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Símbolo digital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16 x 16 px</w:t>
            </w:r>
          </w:p>
        </w:tc>
      </w:tr>
      <w:tr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Símbolo impresso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8 mm de largura</w:t>
            </w:r>
          </w:p>
        </w:tc>
      </w:tr>
    </w:tbl>
    <w:p>
      <w:pPr>
        <w:pStyle w:val="Heading2"/>
      </w:pPr>
      <w:r>
        <w:t>2.4 Usos proibidos</w:t>
      </w:r>
    </w:p>
    <w:p>
      <w:pPr>
        <w:pStyle w:val="ListBullet"/>
        <w:spacing w:after="40"/>
      </w:pPr>
      <w:r>
        <w:t>Não distorcer, inclinar ou alterar as proporções.</w:t>
      </w:r>
    </w:p>
    <w:p>
      <w:pPr>
        <w:pStyle w:val="ListBullet"/>
        <w:spacing w:after="40"/>
      </w:pPr>
      <w:r>
        <w:t>Não substituir as cores oficiais por gradientes aleatórios.</w:t>
      </w:r>
    </w:p>
    <w:p>
      <w:pPr>
        <w:pStyle w:val="ListBullet"/>
        <w:spacing w:after="40"/>
      </w:pPr>
      <w:r>
        <w:t>Não aplicar sombra, contorno ou brilho ao logotipo.</w:t>
      </w:r>
    </w:p>
    <w:p>
      <w:pPr>
        <w:pStyle w:val="ListBullet"/>
        <w:spacing w:after="40"/>
      </w:pPr>
      <w:r>
        <w:t>Não reposicionar a linha vertical ou separar as letras.</w:t>
      </w:r>
    </w:p>
    <w:p>
      <w:pPr>
        <w:pStyle w:val="ListBullet"/>
        <w:spacing w:after="40"/>
      </w:pPr>
      <w:r>
        <w:t>Não usar a versão clara sobre fundo de baixo contraste.</w:t>
      </w:r>
    </w:p>
    <w:p>
      <w:pPr>
        <w:pStyle w:val="ListBullet"/>
        <w:spacing w:after="40"/>
      </w:pPr>
      <w:r>
        <w:t>Não utilizar o logotipo completo como favicon.</w:t>
      </w:r>
    </w:p>
    <w:p>
      <w:r>
        <w:br w:type="page"/>
      </w:r>
    </w:p>
    <w:p>
      <w:pPr>
        <w:spacing w:before="200" w:after="120"/>
      </w:pPr>
      <w:r>
        <w:rPr>
          <w:rFonts w:ascii="Aptos Display" w:hAnsi="Aptos Display"/>
          <w:b/>
          <w:color w:val="1E3B27"/>
          <w:sz w:val="48"/>
        </w:rPr>
        <w:t>3. Paleta de cores</w:t>
      </w:r>
    </w:p>
    <w:p>
      <w:pPr>
        <w:pStyle w:val="Subtitle"/>
        <w:spacing w:after="200"/>
      </w:pPr>
      <w:r>
        <w:rPr>
          <w:color w:val="557A5B"/>
        </w:rPr>
        <w:t>A paleta equilibra arte, natureza, sofisticação e legibilidade.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shd w:fill="1E3B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Token</w:t>
            </w:r>
          </w:p>
        </w:tc>
        <w:tc>
          <w:tcPr>
            <w:tcW w:type="dxa" w:w="1440"/>
            <w:shd w:fill="1E3B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Hex</w:t>
            </w:r>
          </w:p>
        </w:tc>
        <w:tc>
          <w:tcPr>
            <w:tcW w:type="dxa" w:w="1728"/>
            <w:shd w:fill="1E3B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RGB</w:t>
            </w:r>
          </w:p>
        </w:tc>
        <w:tc>
          <w:tcPr>
            <w:tcW w:type="dxa" w:w="4320"/>
            <w:shd w:fill="1E3B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Função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artline.green.900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#1E3B27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30, 59, 39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Fundo principal, sidebar, áreas institucionais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artline.green.300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#A7C99A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167, 201, 154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Marca, destaque suave, estados positivos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artline.black.900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#111111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17, 17, 17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Texto principal e logo técnico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artline.white.50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#F7F8F4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247, 248, 244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Fundo claro e superfícies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artline.gray.200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#D9D9D9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217, 217, 217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Divisores, bordas e estados inativos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artline.green.600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#557A5B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85, 122, 91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Texto secundário, links e ícones</w:t>
            </w:r>
          </w:p>
        </w:tc>
      </w:tr>
    </w:tbl>
    <w:p>
      <w:pPr>
        <w:pStyle w:val="Heading2"/>
      </w:pPr>
      <w:r>
        <w:t>3.1 Distribuição recomendada</w:t>
      </w:r>
    </w:p>
    <w:p>
      <w:pPr>
        <w:pStyle w:val="ListBullet"/>
        <w:spacing w:after="40"/>
      </w:pPr>
      <w:r>
        <w:t>60% branco suave ou superfícies claras.</w:t>
      </w:r>
    </w:p>
    <w:p>
      <w:pPr>
        <w:pStyle w:val="ListBullet"/>
        <w:spacing w:after="40"/>
      </w:pPr>
      <w:r>
        <w:t>25% verde escuro para estrutura e navegação.</w:t>
      </w:r>
    </w:p>
    <w:p>
      <w:pPr>
        <w:pStyle w:val="ListBullet"/>
        <w:spacing w:after="40"/>
      </w:pPr>
      <w:r>
        <w:t>10% preto para texto e contraste.</w:t>
      </w:r>
    </w:p>
    <w:p>
      <w:pPr>
        <w:pStyle w:val="ListBullet"/>
        <w:spacing w:after="40"/>
      </w:pPr>
      <w:r>
        <w:t>5% verde claro para destaque, confirmação e identidade.</w:t>
      </w:r>
    </w:p>
    <w:p>
      <w:pPr>
        <w:pStyle w:val="Heading2"/>
      </w:pPr>
      <w:r>
        <w:t>3.2 Contraste e acessibilidade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4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1E3B27"/>
              </w:rPr>
              <w:t>Regra obrigatória</w:t>
            </w:r>
          </w:p>
          <w:p>
            <w:pPr>
              <w:spacing w:after="0"/>
            </w:pPr>
            <w:r>
              <w:t>Textos corridos não devem ser exibidos em verde-claro sobre branco. Para leitura, use preto ou verde-escuro. O verde-claro deve atuar como destaque, não como cor principal de texto.</w:t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Aptos Display" w:hAnsi="Aptos Display"/>
          <w:b/>
          <w:color w:val="1E3B27"/>
          <w:sz w:val="48"/>
        </w:rPr>
        <w:t>4. Tipografia</w:t>
      </w:r>
    </w:p>
    <w:p>
      <w:pPr>
        <w:pStyle w:val="Subtitle"/>
        <w:spacing w:after="200"/>
      </w:pPr>
      <w:r>
        <w:rPr>
          <w:color w:val="557A5B"/>
        </w:rPr>
        <w:t>Hierarquia clara e legibilidade em todas as telas.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880"/>
            <w:shd w:fill="1E3B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Uso</w:t>
            </w:r>
          </w:p>
        </w:tc>
        <w:tc>
          <w:tcPr>
            <w:tcW w:type="dxa" w:w="2880"/>
            <w:shd w:fill="1E3B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Família</w:t>
            </w:r>
          </w:p>
        </w:tc>
        <w:tc>
          <w:tcPr>
            <w:tcW w:type="dxa" w:w="1440"/>
            <w:shd w:fill="1E3B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Peso</w:t>
            </w:r>
          </w:p>
        </w:tc>
        <w:tc>
          <w:tcPr>
            <w:tcW w:type="dxa" w:w="2160"/>
            <w:shd w:fill="1E3B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Tamanho base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Títulos de página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Aptos Display / Inter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600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28-32 px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Títulos de seção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Aptos Display / Inter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600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20-24 px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Subtítulos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Aptos / Inter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16-18 px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Texto de interface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Aptos / Inter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14-16 px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Rótulos de campo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Aptos / Inter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600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12-14 px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Notas e metadados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Aptos / Inter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11-12 px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Valores monetários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Aptos / Inter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600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16-24 px</w:t>
            </w:r>
          </w:p>
        </w:tc>
      </w:tr>
    </w:tbl>
    <w:p>
      <w:pPr>
        <w:pStyle w:val="Heading2"/>
      </w:pPr>
      <w:r>
        <w:t>4.1 Regras tipográficas</w:t>
      </w:r>
    </w:p>
    <w:p>
      <w:pPr>
        <w:pStyle w:val="ListBullet"/>
        <w:spacing w:after="40"/>
      </w:pPr>
      <w:r>
        <w:t>Evitar textos totalmente em caixa alta, exceto pequenos rótulos.</w:t>
      </w:r>
    </w:p>
    <w:p>
      <w:pPr>
        <w:pStyle w:val="ListBullet"/>
        <w:spacing w:after="40"/>
      </w:pPr>
      <w:r>
        <w:t>Usar no máximo três pesos tipográficos por tela.</w:t>
      </w:r>
    </w:p>
    <w:p>
      <w:pPr>
        <w:pStyle w:val="ListBullet"/>
        <w:spacing w:after="40"/>
      </w:pPr>
      <w:r>
        <w:t>Manter altura de linha entre 1,35 e 1,55 em textos corridos.</w:t>
      </w:r>
    </w:p>
    <w:p>
      <w:pPr>
        <w:pStyle w:val="ListBullet"/>
        <w:spacing w:after="40"/>
      </w:pPr>
      <w:r>
        <w:t>Valores técnicos e monetários devem possuir alinhamento consistente.</w:t>
      </w:r>
    </w:p>
    <w:p>
      <w:pPr>
        <w:pStyle w:val="ListBullet"/>
        <w:spacing w:after="40"/>
      </w:pPr>
      <w:r>
        <w:t>Mensagens consultivas devem priorizar frases completas e linguagem simples.</w:t>
      </w:r>
    </w:p>
    <w:p>
      <w:r>
        <w:br w:type="page"/>
      </w:r>
    </w:p>
    <w:p>
      <w:pPr>
        <w:spacing w:before="200" w:after="120"/>
      </w:pPr>
      <w:r>
        <w:rPr>
          <w:rFonts w:ascii="Aptos Display" w:hAnsi="Aptos Display"/>
          <w:b/>
          <w:color w:val="1E3B27"/>
          <w:sz w:val="48"/>
        </w:rPr>
        <w:t>5. Espaçamento e layout</w:t>
      </w:r>
    </w:p>
    <w:p>
      <w:pPr>
        <w:pStyle w:val="Subtitle"/>
        <w:spacing w:after="200"/>
      </w:pPr>
      <w:r>
        <w:rPr>
          <w:color w:val="557A5B"/>
        </w:rPr>
        <w:t>O sistema usa uma grade baseada em múltiplos de 4 px.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shd w:fill="1E3B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Token</w:t>
            </w:r>
          </w:p>
        </w:tc>
        <w:tc>
          <w:tcPr>
            <w:tcW w:type="dxa" w:w="1728"/>
            <w:shd w:fill="1E3B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5760"/>
            <w:shd w:fill="1E3B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space.1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4 px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Ajustes finos e ícones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space.2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8 px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Espaço interno pequeno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space.3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12 px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Campos compactos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space.4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16 px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Padrão entre componentes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space.6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24 px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Separação de seções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space.8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32 px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Blocos principais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space.12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48 px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Áreas institucionais e páginas de entrada</w:t>
            </w:r>
          </w:p>
        </w:tc>
      </w:tr>
    </w:tbl>
    <w:p>
      <w:pPr>
        <w:pStyle w:val="Heading2"/>
      </w:pPr>
      <w:r>
        <w:t>5.1 Raio e sombras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1E3B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1872"/>
            <w:shd w:fill="1E3B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Raio</w:t>
            </w:r>
          </w:p>
        </w:tc>
        <w:tc>
          <w:tcPr>
            <w:tcW w:type="dxa" w:w="4896"/>
            <w:shd w:fill="1E3B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Sombra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Campos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8 px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Sem sombra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Botões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8 px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Sem sombra ou sombra discreta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Cards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12 px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0 4px 16px rgba(17,17,17,.08)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Modais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16 px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0 16px 40px rgba(17,17,17,.16)</w:t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Aptos Display" w:hAnsi="Aptos Display"/>
          <w:b/>
          <w:color w:val="1E3B27"/>
          <w:sz w:val="48"/>
        </w:rPr>
        <w:t>6. Componentes de interface</w:t>
      </w:r>
    </w:p>
    <w:p>
      <w:pPr>
        <w:pStyle w:val="Subtitle"/>
        <w:spacing w:after="200"/>
      </w:pPr>
      <w:r>
        <w:rPr>
          <w:color w:val="557A5B"/>
        </w:rPr>
        <w:t>Padrões reutilizáveis para acelerar a evolução do sistema.</w:t>
      </w:r>
    </w:p>
    <w:p>
      <w:pPr>
        <w:pStyle w:val="Heading2"/>
      </w:pPr>
      <w:r>
        <w:t>6.1 Botões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28"/>
            <w:shd w:fill="1E3B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4320"/>
            <w:shd w:fill="1E3B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Aparência</w:t>
            </w:r>
          </w:p>
        </w:tc>
        <w:tc>
          <w:tcPr>
            <w:tcW w:type="dxa" w:w="3600"/>
            <w:shd w:fill="1E3B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Primário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Fundo verde-escuro, texto branco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Salvar, calcular, confirmar e avançar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Secundário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Fundo branco, borda verde-escuro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Editar, visualizar e ações alternativas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Tonal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Fundo verde-claro suave, texto verde-escuro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Recomendações e ações de baixa ênfase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Perigo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Fundo vermelho escuro, texto branco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Excluir ou cancelar definitivamente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Link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Sem fundo, texto verde-escuro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Navegação e ações contextuais</w:t>
            </w:r>
          </w:p>
        </w:tc>
      </w:tr>
    </w:tbl>
    <w:p>
      <w:pPr>
        <w:pStyle w:val="Heading2"/>
      </w:pPr>
      <w:r>
        <w:t>6.2 Campos e seletores</w:t>
      </w:r>
    </w:p>
    <w:p>
      <w:pPr>
        <w:pStyle w:val="ListBullet"/>
        <w:spacing w:after="40"/>
      </w:pPr>
      <w:r>
        <w:t>Rótulo sempre visível acima do campo.</w:t>
      </w:r>
    </w:p>
    <w:p>
      <w:pPr>
        <w:pStyle w:val="ListBullet"/>
        <w:spacing w:after="40"/>
      </w:pPr>
      <w:r>
        <w:t>Texto de ajuda abaixo do campo quando houver regra técnica.</w:t>
      </w:r>
    </w:p>
    <w:p>
      <w:pPr>
        <w:pStyle w:val="ListBullet"/>
        <w:spacing w:after="40"/>
      </w:pPr>
      <w:r>
        <w:t>Erro deve explicar como corrigir, não apenas indicar falha.</w:t>
      </w:r>
    </w:p>
    <w:p>
      <w:pPr>
        <w:pStyle w:val="ListBullet"/>
        <w:spacing w:after="40"/>
      </w:pPr>
      <w:r>
        <w:t>Campos monetários devem exibir R$ e formatação brasileira.</w:t>
      </w:r>
    </w:p>
    <w:p>
      <w:pPr>
        <w:pStyle w:val="ListBullet"/>
        <w:spacing w:after="40"/>
      </w:pPr>
      <w:r>
        <w:t>Margens devem permitir Superior, Inferior, Esquerda e Direita.</w:t>
      </w:r>
    </w:p>
    <w:p>
      <w:pPr>
        <w:pStyle w:val="ListBullet"/>
        <w:spacing w:after="40"/>
      </w:pPr>
      <w:r>
        <w:t>Seleções incompatíveis devem ser desabilitadas com explicação.</w:t>
      </w:r>
    </w:p>
    <w:p>
      <w:pPr>
        <w:pStyle w:val="Heading2"/>
      </w:pPr>
      <w:r>
        <w:t>6.3 Cards técnicos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4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1E3B27"/>
              </w:rPr>
              <w:t>Orientação do Mestre</w:t>
            </w:r>
          </w:p>
          <w:p>
            <w:pPr>
              <w:spacing w:after="0"/>
            </w:pPr>
            <w:r>
              <w:t>Use cards com título, categoria, justificativa e ação recomendada. A mensagem deve ensinar o consultor e, quando apropriado, ser adequada para leitura pelo cliente.</w:t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Aptos Display" w:hAnsi="Aptos Display"/>
          <w:b/>
          <w:color w:val="1E3B27"/>
          <w:sz w:val="48"/>
        </w:rPr>
        <w:t>7. Mensagens e feedback</w:t>
      </w:r>
    </w:p>
    <w:p>
      <w:pPr>
        <w:pStyle w:val="Subtitle"/>
        <w:spacing w:after="200"/>
      </w:pPr>
      <w:r>
        <w:rPr>
          <w:color w:val="557A5B"/>
        </w:rPr>
        <w:t>O Artline deve explicar decisões técnicas, não apenas bloquear ações.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440"/>
            <w:shd w:fill="1E3B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Nível</w:t>
            </w:r>
          </w:p>
        </w:tc>
        <w:tc>
          <w:tcPr>
            <w:tcW w:type="dxa" w:w="2160"/>
            <w:shd w:fill="1E3B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Nome</w:t>
            </w:r>
          </w:p>
        </w:tc>
        <w:tc>
          <w:tcPr>
            <w:tcW w:type="dxa" w:w="2880"/>
            <w:shd w:fill="1E3B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Uso</w:t>
            </w:r>
          </w:p>
        </w:tc>
        <w:tc>
          <w:tcPr>
            <w:tcW w:type="dxa" w:w="4320"/>
            <w:shd w:fill="1E3B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Exemplo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Informativo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Informação técnica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Contexto sem ação obrigatória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O passe-partout será cobrado por m².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Recomendação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Orientação do Mestre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Boa prática e conservação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Recomendamos passe-partout para fotografias.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Atenção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Atenção técnica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Escolha possível com risco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Vidro em canvas pode aumentar o risco de umidade.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Crítico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Incompatibilidade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Configuração que não deve prosseguir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O perfil não possui profundidade suficiente.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Sucesso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Concluído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Ação finalizada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Cliente atualizado com sucesso.</w:t>
            </w:r>
          </w:p>
        </w:tc>
      </w:tr>
    </w:tbl>
    <w:p>
      <w:pPr>
        <w:pStyle w:val="Heading2"/>
      </w:pPr>
      <w:r>
        <w:t>7.1 Estrutura de uma mensagem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shd w:fill="1E3B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488"/>
            <w:shd w:fill="1E3B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categoria</w:t>
            </w:r>
          </w:p>
        </w:tc>
        <w:tc>
          <w:tcPr>
            <w:tcW w:type="dxa" w:w="748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Conservação, estrutural, comercial, produção ou logística</w:t>
            </w:r>
          </w:p>
        </w:tc>
      </w:tr>
      <w:tr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titulo</w:t>
            </w:r>
          </w:p>
        </w:tc>
        <w:tc>
          <w:tcPr>
            <w:tcW w:type="dxa" w:w="7488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Resumo curto e direto</w:t>
            </w:r>
          </w:p>
        </w:tc>
      </w:tr>
      <w:tr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mensagem</w:t>
            </w:r>
          </w:p>
        </w:tc>
        <w:tc>
          <w:tcPr>
            <w:tcW w:type="dxa" w:w="748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Explicação em linguagem simples</w:t>
            </w:r>
          </w:p>
        </w:tc>
      </w:tr>
      <w:tr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prioridade</w:t>
            </w:r>
          </w:p>
        </w:tc>
        <w:tc>
          <w:tcPr>
            <w:tcW w:type="dxa" w:w="7488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Informativa, recomendação, atenção ou crítica</w:t>
            </w:r>
          </w:p>
        </w:tc>
      </w:tr>
      <w:tr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regra</w:t>
            </w:r>
          </w:p>
        </w:tc>
        <w:tc>
          <w:tcPr>
            <w:tcW w:type="dxa" w:w="748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Código ABRS correspondente</w:t>
            </w:r>
          </w:p>
        </w:tc>
      </w:tr>
      <w:tr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acao</w:t>
            </w:r>
          </w:p>
        </w:tc>
        <w:tc>
          <w:tcPr>
            <w:tcW w:type="dxa" w:w="7488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Próxima decisão possível para o usuário</w:t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Aptos Display" w:hAnsi="Aptos Display"/>
          <w:b/>
          <w:color w:val="1E3B27"/>
          <w:sz w:val="48"/>
        </w:rPr>
        <w:t>8. Documentos e produção</w:t>
      </w:r>
    </w:p>
    <w:p>
      <w:pPr>
        <w:pStyle w:val="Subtitle"/>
        <w:spacing w:after="200"/>
      </w:pPr>
      <w:r>
        <w:rPr>
          <w:color w:val="557A5B"/>
        </w:rPr>
        <w:t>A mesma identidade deve acompanhar orçamento, pedido, OS e produção.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shd w:fill="1E3B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Documento</w:t>
            </w:r>
          </w:p>
        </w:tc>
        <w:tc>
          <w:tcPr>
            <w:tcW w:type="dxa" w:w="2304"/>
            <w:shd w:fill="1E3B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Logo</w:t>
            </w:r>
          </w:p>
        </w:tc>
        <w:tc>
          <w:tcPr>
            <w:tcW w:type="dxa" w:w="6336"/>
            <w:shd w:fill="1E3B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Elementos obrigatórios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Orçamento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Wordmark para fundo claro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Cliente, itens, valor, validade e orientações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Pedido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Wordmark para fundo claro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Itens aprovados, pagamento, frete e prazo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OS principal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Wordmark para fundo claro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Montagem, margens, materiais e observações técnicas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OS de corte de PP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Símbolo + wordmark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Cor, espessura, aberturas e quatro margens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OS de moldura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Símbolo + wordmark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Perfis, medidas, camadas e quantidades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OS de montagem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Wordmark para fundo claro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Sequência de montagem e Orientações do Mestre</w:t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Aptos Display" w:hAnsi="Aptos Display"/>
          <w:b/>
          <w:color w:val="1E3B27"/>
          <w:sz w:val="48"/>
        </w:rPr>
        <w:t>9. Favicon, PWA e ícones digitais</w:t>
      </w:r>
    </w:p>
    <w:p>
      <w:pPr>
        <w:pStyle w:val="Subtitle"/>
        <w:spacing w:after="200"/>
      </w:pPr>
      <w:r>
        <w:rPr>
          <w:color w:val="557A5B"/>
        </w:rPr>
        <w:t>O símbolo ◖| deve ser a assinatura em espaços reduzidos.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56"/>
            <w:shd w:fill="1E3B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Arquivo</w:t>
            </w:r>
          </w:p>
        </w:tc>
        <w:tc>
          <w:tcPr>
            <w:tcW w:type="dxa" w:w="1728"/>
            <w:shd w:fill="1E3B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Tamanho</w:t>
            </w:r>
          </w:p>
        </w:tc>
        <w:tc>
          <w:tcPr>
            <w:tcW w:type="dxa" w:w="5184"/>
            <w:shd w:fill="1E3B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favicon-16x16.png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16 x 16</w:t>
            </w:r>
          </w:p>
        </w:tc>
        <w:tc>
          <w:tcPr>
            <w:tcW w:type="dxa" w:w="518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Abas compactas</w:t>
            </w:r>
          </w:p>
        </w:tc>
      </w:tr>
      <w:tr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favicon-32x32.png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32 x 32</w:t>
            </w:r>
          </w:p>
        </w:tc>
        <w:tc>
          <w:tcPr>
            <w:tcW w:type="dxa" w:w="5184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Navegadores modernos</w:t>
            </w:r>
          </w:p>
        </w:tc>
      </w:tr>
      <w:tr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favicon-48x48.png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48 x 48</w:t>
            </w:r>
          </w:p>
        </w:tc>
        <w:tc>
          <w:tcPr>
            <w:tcW w:type="dxa" w:w="518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Atalhos e sistemas legados</w:t>
            </w:r>
          </w:p>
        </w:tc>
      </w:tr>
      <w:tr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apple-touch-icon.png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180 x 180</w:t>
            </w:r>
          </w:p>
        </w:tc>
        <w:tc>
          <w:tcPr>
            <w:tcW w:type="dxa" w:w="5184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Atalho no iPhone/iPad</w:t>
            </w:r>
          </w:p>
        </w:tc>
      </w:tr>
      <w:tr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pwa-icon-192.png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192 x 192</w:t>
            </w:r>
          </w:p>
        </w:tc>
        <w:tc>
          <w:tcPr>
            <w:tcW w:type="dxa" w:w="518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PWA Android</w:t>
            </w:r>
          </w:p>
        </w:tc>
      </w:tr>
      <w:tr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pwa-icon-512.png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512 x 512</w:t>
            </w:r>
          </w:p>
        </w:tc>
        <w:tc>
          <w:tcPr>
            <w:tcW w:type="dxa" w:w="5184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Splash e instalação PWA</w:t>
            </w:r>
          </w:p>
        </w:tc>
      </w:tr>
      <w:tr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favicon.ico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16/32/48</w:t>
            </w:r>
          </w:p>
        </w:tc>
        <w:tc>
          <w:tcPr>
            <w:tcW w:type="dxa" w:w="518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Compatibilidade geral</w:t>
            </w:r>
          </w:p>
        </w:tc>
      </w:tr>
    </w:tbl>
    <w:p>
      <w:pPr>
        <w:pStyle w:val="Heading2"/>
      </w:pPr>
      <w:r>
        <w:t>9.1 Regras do ícone</w:t>
      </w:r>
    </w:p>
    <w:p>
      <w:pPr>
        <w:pStyle w:val="ListBullet"/>
        <w:spacing w:after="40"/>
      </w:pPr>
      <w:r>
        <w:t>Usar fundo verde-escuro e símbolo verde-claro na versão principal.</w:t>
      </w:r>
    </w:p>
    <w:p>
      <w:pPr>
        <w:pStyle w:val="ListBullet"/>
        <w:spacing w:after="40"/>
      </w:pPr>
      <w:r>
        <w:t>Manter margem interna mínima de 18% em todos os lados.</w:t>
      </w:r>
    </w:p>
    <w:p>
      <w:pPr>
        <w:pStyle w:val="ListBullet"/>
        <w:spacing w:after="40"/>
      </w:pPr>
      <w:r>
        <w:t>Evitar texto ou detalhes finos dentro do favicon.</w:t>
      </w:r>
    </w:p>
    <w:p>
      <w:pPr>
        <w:pStyle w:val="ListBullet"/>
        <w:spacing w:after="40"/>
      </w:pPr>
      <w:r>
        <w:t>Testar o símbolo em 16 px antes de aprovar qualquer alteração.</w:t>
      </w:r>
    </w:p>
    <w:p>
      <w:pPr>
        <w:spacing w:before="200" w:after="120"/>
      </w:pPr>
      <w:r>
        <w:rPr>
          <w:rFonts w:ascii="Aptos Display" w:hAnsi="Aptos Display"/>
          <w:b/>
          <w:color w:val="1E3B27"/>
          <w:sz w:val="48"/>
        </w:rPr>
        <w:t>10. Implementação no projeto</w:t>
      </w:r>
    </w:p>
    <w:p>
      <w:pPr>
        <w:pStyle w:val="Subtitle"/>
        <w:spacing w:after="200"/>
      </w:pPr>
      <w:r>
        <w:rPr>
          <w:color w:val="557A5B"/>
        </w:rPr>
        <w:t>Estrutura recomendada para o repositório Artline.</w:t>
      </w:r>
    </w:p>
    <w:p>
      <w:pPr>
        <w:spacing w:after="0"/>
        <w:ind w:left="360"/>
      </w:pPr>
      <w:r>
        <w:rPr>
          <w:rFonts w:ascii="Consolas" w:hAnsi="Consolas"/>
          <w:color w:val="111111"/>
          <w:sz w:val="18"/>
        </w:rPr>
        <w:t>frontend/public/brand/</w:t>
      </w:r>
    </w:p>
    <w:p>
      <w:pPr>
        <w:spacing w:after="0"/>
        <w:ind w:left="360"/>
      </w:pPr>
      <w:r>
        <w:rPr>
          <w:rFonts w:ascii="Consolas" w:hAnsi="Consolas"/>
          <w:color w:val="111111"/>
          <w:sz w:val="18"/>
        </w:rPr>
        <w:t xml:space="preserve">  logos/artline-logo-primary-on-dark.png</w:t>
      </w:r>
    </w:p>
    <w:p>
      <w:pPr>
        <w:spacing w:after="0"/>
        <w:ind w:left="360"/>
      </w:pPr>
      <w:r>
        <w:rPr>
          <w:rFonts w:ascii="Consolas" w:hAnsi="Consolas"/>
          <w:color w:val="111111"/>
          <w:sz w:val="18"/>
        </w:rPr>
        <w:t xml:space="preserve">  logos/artline-logo-primary-on-light.png</w:t>
      </w:r>
    </w:p>
    <w:p>
      <w:pPr>
        <w:spacing w:after="0"/>
        <w:ind w:left="360"/>
      </w:pPr>
      <w:r>
        <w:rPr>
          <w:rFonts w:ascii="Consolas" w:hAnsi="Consolas"/>
          <w:color w:val="111111"/>
          <w:sz w:val="18"/>
        </w:rPr>
        <w:t xml:space="preserve">  logos/artline-wordmark-on-light.png</w:t>
      </w:r>
    </w:p>
    <w:p>
      <w:pPr>
        <w:spacing w:after="0"/>
        <w:ind w:left="360"/>
      </w:pPr>
      <w:r>
        <w:rPr>
          <w:rFonts w:ascii="Consolas" w:hAnsi="Consolas"/>
          <w:color w:val="111111"/>
          <w:sz w:val="18"/>
        </w:rPr>
        <w:t xml:space="preserve">  logos/artline-wordmark-on-dark.png</w:t>
      </w:r>
    </w:p>
    <w:p>
      <w:pPr>
        <w:spacing w:after="0"/>
        <w:ind w:left="360"/>
      </w:pPr>
      <w:r>
        <w:rPr>
          <w:rFonts w:ascii="Consolas" w:hAnsi="Consolas"/>
          <w:color w:val="111111"/>
          <w:sz w:val="18"/>
        </w:rPr>
        <w:t xml:space="preserve">  logos/artline-tile-dark.png</w:t>
      </w:r>
    </w:p>
    <w:p>
      <w:pPr>
        <w:spacing w:after="0"/>
        <w:ind w:left="360"/>
      </w:pPr>
      <w:r>
        <w:rPr>
          <w:rFonts w:ascii="Consolas" w:hAnsi="Consolas"/>
          <w:color w:val="111111"/>
          <w:sz w:val="18"/>
        </w:rPr>
        <w:t xml:space="preserve">  logos/artline-tile-light.png</w:t>
      </w:r>
    </w:p>
    <w:p>
      <w:pPr>
        <w:spacing w:after="0"/>
        <w:ind w:left="360"/>
      </w:pPr>
      <w:r>
        <w:rPr>
          <w:rFonts w:ascii="Consolas" w:hAnsi="Consolas"/>
          <w:color w:val="111111"/>
          <w:sz w:val="18"/>
        </w:rPr>
        <w:t xml:space="preserve">  symbols/artline-symbol-on-dark.png</w:t>
      </w:r>
    </w:p>
    <w:p>
      <w:pPr>
        <w:spacing w:after="0"/>
        <w:ind w:left="360"/>
      </w:pPr>
      <w:r>
        <w:rPr>
          <w:rFonts w:ascii="Consolas" w:hAnsi="Consolas"/>
          <w:color w:val="111111"/>
          <w:sz w:val="18"/>
        </w:rPr>
        <w:t xml:space="preserve">  symbols/artline-symbol-on-light.png</w:t>
      </w:r>
    </w:p>
    <w:p>
      <w:pPr>
        <w:spacing w:after="0"/>
        <w:ind w:left="360"/>
      </w:pPr>
      <w:r>
        <w:rPr>
          <w:rFonts w:ascii="Consolas" w:hAnsi="Consolas"/>
          <w:color w:val="111111"/>
          <w:sz w:val="18"/>
        </w:rPr>
        <w:t xml:space="preserve">  icons/favicon-16x16.png</w:t>
      </w:r>
    </w:p>
    <w:p>
      <w:pPr>
        <w:spacing w:after="0"/>
        <w:ind w:left="360"/>
      </w:pPr>
      <w:r>
        <w:rPr>
          <w:rFonts w:ascii="Consolas" w:hAnsi="Consolas"/>
          <w:color w:val="111111"/>
          <w:sz w:val="18"/>
        </w:rPr>
        <w:t xml:space="preserve">  icons/favicon-32x32.png</w:t>
      </w:r>
    </w:p>
    <w:p>
      <w:pPr>
        <w:spacing w:after="0"/>
        <w:ind w:left="360"/>
      </w:pPr>
      <w:r>
        <w:rPr>
          <w:rFonts w:ascii="Consolas" w:hAnsi="Consolas"/>
          <w:color w:val="111111"/>
          <w:sz w:val="18"/>
        </w:rPr>
        <w:t xml:space="preserve">  icons/favicon-48x48.png</w:t>
      </w:r>
    </w:p>
    <w:p>
      <w:pPr>
        <w:spacing w:after="0"/>
        <w:ind w:left="360"/>
      </w:pPr>
      <w:r>
        <w:rPr>
          <w:rFonts w:ascii="Consolas" w:hAnsi="Consolas"/>
          <w:color w:val="111111"/>
          <w:sz w:val="18"/>
        </w:rPr>
        <w:t xml:space="preserve">  icons/apple-touch-icon.png</w:t>
      </w:r>
    </w:p>
    <w:p>
      <w:pPr>
        <w:spacing w:after="0"/>
        <w:ind w:left="360"/>
      </w:pPr>
      <w:r>
        <w:rPr>
          <w:rFonts w:ascii="Consolas" w:hAnsi="Consolas"/>
          <w:color w:val="111111"/>
          <w:sz w:val="18"/>
        </w:rPr>
        <w:t xml:space="preserve">  icons/pwa-icon-192.png</w:t>
      </w:r>
    </w:p>
    <w:p>
      <w:pPr>
        <w:spacing w:after="0"/>
        <w:ind w:left="360"/>
      </w:pPr>
      <w:r>
        <w:rPr>
          <w:rFonts w:ascii="Consolas" w:hAnsi="Consolas"/>
          <w:color w:val="111111"/>
          <w:sz w:val="18"/>
        </w:rPr>
        <w:t xml:space="preserve">  icons/pwa-icon-512.png</w:t>
      </w:r>
    </w:p>
    <w:p>
      <w:pPr>
        <w:spacing w:after="0"/>
        <w:ind w:left="360"/>
      </w:pPr>
      <w:r>
        <w:rPr>
          <w:rFonts w:ascii="Consolas" w:hAnsi="Consolas"/>
          <w:color w:val="111111"/>
          <w:sz w:val="18"/>
        </w:rPr>
        <w:t xml:space="preserve">  favicon.ico</w:t>
      </w:r>
    </w:p>
    <w:p>
      <w:pPr>
        <w:spacing w:after="0"/>
        <w:ind w:left="360"/>
      </w:pPr>
      <w:r>
        <w:rPr>
          <w:rFonts w:ascii="Consolas" w:hAnsi="Consolas"/>
          <w:color w:val="111111"/>
          <w:sz w:val="18"/>
        </w:rPr>
        <w:t xml:space="preserve">  manifest.webmanifest</w:t>
      </w:r>
    </w:p>
    <w:p>
      <w:pPr>
        <w:pStyle w:val="Heading2"/>
      </w:pPr>
      <w:r>
        <w:t>10.1 Tokens CSS iniciais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:root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--artline-green-900: #1E3B27;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--artline-green-600: #557A5B;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--artline-green-300: #A7C99A;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--artline-black-900: #111111;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--artline-white-50: #F7F8F4;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--artline-gray-200: #D9D9D9;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--radius-field: 8px;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--radius-card: 12px;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--space-unit: 4px;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}</w:t>
      </w:r>
    </w:p>
    <w:p>
      <w:pPr>
        <w:spacing w:before="200" w:after="120"/>
      </w:pPr>
      <w:r>
        <w:rPr>
          <w:rFonts w:ascii="Aptos Display" w:hAnsi="Aptos Display"/>
          <w:b/>
          <w:color w:val="1E3B27"/>
          <w:sz w:val="48"/>
        </w:rPr>
        <w:t>11. Checklist de adoção</w:t>
      </w:r>
    </w:p>
    <w:p>
      <w:pPr>
        <w:pStyle w:val="Subtitle"/>
        <w:spacing w:after="200"/>
      </w:pPr>
      <w:r>
        <w:rPr>
          <w:color w:val="557A5B"/>
        </w:rPr>
        <w:t>A identidade só está concluída quando todas as aplicações forem consistentes.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7200"/>
            <w:shd w:fill="1E3B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016"/>
            <w:shd w:fill="1E3B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 inicial</w:t>
            </w:r>
          </w:p>
        </w:tc>
      </w:tr>
      <w:tr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Renomear arquivos oficiais de marca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Pendente</w:t>
            </w:r>
          </w:p>
        </w:tc>
      </w:tr>
      <w:tr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Criar símbolo ◖| em PNG e SVG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Pendente</w:t>
            </w:r>
          </w:p>
        </w:tc>
      </w:tr>
      <w:tr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Gerar favicon e ícones PWA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Pendente</w:t>
            </w:r>
          </w:p>
        </w:tc>
      </w:tr>
      <w:tr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Atualizar login e cabeçalho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Pendente</w:t>
            </w:r>
          </w:p>
        </w:tc>
      </w:tr>
      <w:tr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Atualizar título e manifest do navegador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Pendente</w:t>
            </w:r>
          </w:p>
        </w:tc>
      </w:tr>
      <w:tr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Atualizar PDFs e Ordem de Serviço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Pendente</w:t>
            </w:r>
          </w:p>
        </w:tc>
      </w:tr>
      <w:tr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Criar tokens CSS e componentes básicos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Pendente</w:t>
            </w:r>
          </w:p>
        </w:tc>
      </w:tr>
      <w:tr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Validar contraste e responsividade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Pendente</w:t>
            </w:r>
          </w:p>
        </w:tc>
      </w:tr>
      <w:tr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Remover Logo1, Logo2, Logo3 etc.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8"/>
              </w:rPr>
              <w:t>Pendente</w:t>
            </w:r>
          </w:p>
        </w:tc>
      </w:tr>
      <w:tr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Registrar versão 1.0 no GitHub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shd w:fill="F3F6F2"/>
          </w:tcPr>
          <w:p>
            <w:r>
              <w:rPr>
                <w:sz w:val="18"/>
              </w:rPr>
              <w:t>Pendente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0E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1E3B27"/>
              </w:rPr>
              <w:t>Diretriz final</w:t>
            </w:r>
          </w:p>
          <w:p>
            <w:pPr>
              <w:spacing w:after="0"/>
            </w:pPr>
            <w:r>
              <w:t>O Design System deve servir ao produto, não competir com ele. Toda decisão visual deve ajudar o consultor a compreender, decidir e executar com segurança.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57A5B"/>
        <w:sz w:val="16"/>
      </w:rPr>
      <w:t>ARTLINE DESIGN SYSTEM 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E3B27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3B2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E3B2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E3B2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tlineLabel">
    <w:name w:val="Artline Label"/>
    <w:pPr>
      <w:spacing w:after="40"/>
    </w:pPr>
    <w:rPr>
      <w:rFonts w:ascii="Aptos" w:hAnsi="Aptos"/>
      <w:b/>
      <w:color w:val="557A5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Artline Design System 1.0</dc:title>
  <dc:subject>Identidade visual e padrões de interface do Artline</dc:subject>
  <dc:creator>Artline</dc:creator>
  <cp:keywords>Artline, Design System, identidade visual, UI, UX, branding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