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56"/>
          <w:szCs w:val="56"/>
        </w:rPr>
        <w:t xml:space="preserve">Mysoft Sales Acceleration Suite</w:t>
      </w:r>
    </w:p>
    <w:p>
      <w:pPr>
        <w:spacing w:before="120" w:after="120"/>
        <w:jc w:val="center"/>
      </w:pPr>
      <w:r>
        <w:rPr>
          <w:rFonts w:ascii="Arial" w:cs="Arial" w:eastAsia="Arial" w:hAnsi="Arial"/>
          <w:color w:val="2E75B6"/>
          <w:sz w:val="36"/>
          <w:szCs w:val="36"/>
        </w:rPr>
        <w:t xml:space="preserve">Product Specification</w:t>
      </w:r>
    </w:p>
    <w:p>
      <w:pPr>
        <w:spacing w:before="60" w:after="480"/>
        <w:jc w:val="center"/>
      </w:pPr>
      <w:r>
        <w:rPr>
          <w:rFonts w:ascii="Arial" w:cs="Arial" w:eastAsia="Arial" w:hAnsi="Arial"/>
          <w:color w:val="595959"/>
          <w:sz w:val="22"/>
          <w:szCs w:val="22"/>
        </w:rPr>
        <w:t xml:space="preserve">Version 2.0  |  March 2026  |  Confidential</w:t>
      </w:r>
    </w:p>
    <w:p>
      <w:pPr>
        <w:pBdr>
          <w:bottom w:val="single" w:color="1F3864" w:sz="6" w:space="1"/>
        </w:pBdr>
        <w:spacing w:before="120" w:after="12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1. Purpose</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The Mysoft Sales Acceleration Suite (MSAS) is a structured, AI-powered internal sales platform designed to improve close rates, reduce sales cycle time, and standardise sales execution across Sage Intacct and Sage X3 opportunities.</w:t>
      </w:r>
    </w:p>
    <w:p>
      <w:pPr>
        <w:spacing w:before="60" w:after="60"/>
      </w:pPr>
      <w:r>
        <w:t xml:space="preserve"/>
      </w:r>
    </w:p>
    <w:p>
      <w:pPr>
        <w:spacing w:before="60" w:after="60"/>
      </w:pPr>
      <w:r>
        <w:rPr>
          <w:rFonts w:ascii="Arial" w:cs="Arial" w:eastAsia="Arial" w:hAnsi="Arial"/>
          <w:sz w:val="22"/>
          <w:szCs w:val="22"/>
        </w:rPr>
        <w:t xml:space="preserve">It enables Business Development Executives (BDEs) to produce CFO-ready outputs including cost of inaction analyses, ROI cases, scoped solution designs, and Statements of Work in a consistent, repeatable manner. Data is entered once at opportunity level and consumed across all modules.</w:t>
      </w:r>
    </w:p>
    <w:p>
      <w:pPr>
        <w:spacing w:before="60" w:after="60"/>
      </w:pPr>
      <w:r>
        <w:t xml:space="preserve"/>
      </w:r>
    </w:p>
    <w:p>
      <w:pPr>
        <w:spacing w:before="60" w:after="60"/>
      </w:pPr>
      <w:r>
        <w:rPr>
          <w:rFonts w:ascii="Arial" w:cs="Arial" w:eastAsia="Arial" w:hAnsi="Arial"/>
          <w:sz w:val="22"/>
          <w:szCs w:val="22"/>
        </w:rPr>
        <w:t xml:space="preserve">The platform is built for internal use first, with architecture designed to support multi-tenancy and future partner licensing from the outset.</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2. Objectives</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580"/>
        <w:gridCol w:w="2580"/>
      </w:tblGrid>
      <w:tr>
        <w:trPr>
          <w:tblHeader/>
        </w:trPr>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Objective</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25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close rate</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+25-40%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Deals won / deals progressed</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Reduce sales cycle</w:t>
            </w:r>
          </w:p>
        </w:tc>
        <w:tc>
          <w:tcPr>
            <w:tcW w:type="dxa" w:w="2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-20-30%</w:t>
            </w:r>
          </w:p>
        </w:tc>
        <w:tc>
          <w:tcPr>
            <w:tcW w:type="dxa" w:w="2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Days from qualification to close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proposals include quantified ROI</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2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Proposals with ROI output exported</w:t>
            </w:r>
          </w:p>
        </w:tc>
      </w:tr>
      <w:tr>
        <w:tc>
          <w:tcPr>
            <w:tcW w:type="dxa" w:w="4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Standardise discovery and scoping</w:t>
            </w:r>
          </w:p>
        </w:tc>
        <w:tc>
          <w:tcPr>
            <w:tcW w:type="dxa" w:w="2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100% new biz</w:t>
            </w:r>
          </w:p>
        </w:tc>
        <w:tc>
          <w:tcPr>
            <w:tcW w:type="dxa" w:w="25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Tool completion rate on new biz deals</w:t>
            </w:r>
          </w:p>
        </w:tc>
      </w:tr>
    </w:tbl>
    <w:p>
      <w:pPr>
        <w:spacing w:before="60" w:after="60"/>
      </w:pPr>
      <w:r>
        <w:t xml:space="preserve"/>
      </w:r>
    </w:p>
    <w:p>
      <w:pPr>
        <w:spacing w:before="60" w:after="60"/>
      </w:pPr>
      <w:r>
        <w:rPr>
          <w:rFonts w:ascii="Arial" w:cs="Arial" w:eastAsia="Arial" w:hAnsi="Arial"/>
          <w:i/>
          <w:iCs/>
          <w:color w:val="595959"/>
          <w:sz w:val="22"/>
          <w:szCs w:val="22"/>
        </w:rPr>
        <w:t xml:space="preserve">Note: Baseline metrics will be established from data captured during initial deployment. The platform itself will be the primary source of measurement data.</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3. Target Users and Access</w:t>
      </w:r>
    </w:p>
    <w:p>
      <w:pPr>
        <w:pBdr>
          <w:bottom w:val="single" w:color="2E75B6" w:sz="6"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3.1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Level</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Development Executive (BDE/BDM)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Own opportunities only</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Pre-Sales Consultant</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Individual</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opportunities assigned to them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Team Lead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opportunities within their team</w:t>
            </w:r>
          </w:p>
        </w:tc>
      </w:tr>
      <w:tr>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Sales Director / MD</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Organisation</w:t>
            </w:r>
          </w:p>
        </w:tc>
        <w:tc>
          <w:tcPr>
            <w:tcW w:type="dxa" w:w="4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opportunities across all teams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System Administrator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configuration and user management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3.2 Team Structure</w:t>
      </w:r>
    </w:p>
    <w:p>
      <w:pPr>
        <w:spacing w:before="60" w:after="60"/>
      </w:pPr>
      <w:r>
        <w:rPr>
          <w:rFonts w:ascii="Arial" w:cs="Arial" w:eastAsia="Arial" w:hAnsi="Arial"/>
          <w:sz w:val="22"/>
          <w:szCs w:val="22"/>
        </w:rPr>
        <w:t xml:space="preserve">Teams are configured at tenant level by the System Administrator. Team groupings are flexible (e.g. by product line, geography, or business unit) and defined per deployment. This supports Mysoft's current single-tenant deployment while enabling multi-tenant partner use in future.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3.3 Authentication</w:t>
      </w:r>
    </w:p>
    <w:p>
      <w:pPr>
        <w:spacing w:before="60" w:after="60"/>
      </w:pPr>
      <w:r>
        <w:rPr>
          <w:rFonts w:ascii="Arial" w:cs="Arial" w:eastAsia="Arial" w:hAnsi="Arial"/>
          <w:sz w:val="22"/>
          <w:szCs w:val="22"/>
        </w:rPr>
        <w:t xml:space="preserve">Phase 1: Username and password authentication with session management. Future phases may introduce SSO/OAuth integration.</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4. Multi-Tenancy Architecture</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The platform is multi-tenant from day one. Each tenant is fully isolated with separate data, configuration, branding, and user management.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isolation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ID on all records; no cross-tenant data access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Configuration</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Per-tenant: team structure, branding, benchmark defaults, solution logic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Tenant-scoped admin creates and manages users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Routing</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Subdomain or path-based tenant identification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Licensing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Designed to support per-tenant commercial model in Phase 3</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5. Solution Determination Logic</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During discovery, the platform determines the recommended Sage solution based on the prospect's responses. This logic is applied automatically and presented as a recommendation to the BDE, not as a hard lock.</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5.1 Primary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Discovery Response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Solution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 production planning, or bill of materials requirement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X3</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Wholesale distribution, warehouse management, or stock control as primary need</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Sage X3</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services, project accounting, or resource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Intacct</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SaaS / technology company with subscription billing or revenue recognition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Sage Intacct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Non-profit with fund accounting or grant management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Intacct</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Legal or financial services with matter/project billing</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Sage Intacct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Mixed model: manufacturing + multi-entity finance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Sage X3 + Intacct integration</w:t>
            </w:r>
          </w:p>
        </w:tc>
      </w:tr>
      <w:tr>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Primarily document management / purchase invoice automation</w:t>
            </w:r>
          </w:p>
        </w:tc>
        <w:tc>
          <w:tcPr>
            <w:tcW w:type="dxa" w:w="468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X3CloudDocs (add-on)</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5.2 Tie-Break and Ambiguity</w:t>
      </w:r>
    </w:p>
    <w:p>
      <w:pPr>
        <w:spacing w:before="60" w:after="60"/>
      </w:pPr>
      <w:r>
        <w:rPr>
          <w:rFonts w:ascii="Arial" w:cs="Arial" w:eastAsia="Arial" w:hAnsi="Arial"/>
          <w:sz w:val="22"/>
          <w:szCs w:val="22"/>
        </w:rPr>
        <w:t xml:space="preserve">Where responses indicate multiple potential solutions, the platform flags ambiguity and prompts the BDE to confirm the primary pain driver before proceeding. The recommendation can be overridden by the BDE with a mandatory reason note.</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5.3 Module Skipping</w:t>
      </w:r>
    </w:p>
    <w:p>
      <w:pPr>
        <w:spacing w:before="60" w:after="60"/>
      </w:pPr>
      <w:r>
        <w:rPr>
          <w:rFonts w:ascii="Arial" w:cs="Arial" w:eastAsia="Arial" w:hAnsi="Arial"/>
          <w:sz w:val="22"/>
          <w:szCs w:val="22"/>
        </w:rPr>
        <w:t xml:space="preserve">Once a solution is determined, modules containing questions irrelevant to that solution are marked optional and collapsed by default. For example, production planning questions are hidden for Intacct-only opportunities. BDEs can expand skipped sections manually if required.</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6. Module Overview</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200"/>
        <w:gridCol w:w="1400"/>
        <w:gridCol w:w="5460"/>
      </w:tblGrid>
      <w:tr>
        <w:trPr>
          <w:tblHeader/>
        </w:trP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5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Qualification Engine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BANT pre-screen followed by MEDDPICC scoring. Produces opportunity risk rating.</w:t>
            </w:r>
          </w:p>
        </w:tc>
      </w:tr>
      <w:tr>
        <w:tc>
          <w:tcPr>
            <w:tcW w:type="dxa" w:w="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Discovery Engine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Full structured capture of financial, operational, and technical requirements. Determines target solution.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Inaction Calculator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Quantifies cost of current-state inefficiency using industry benchmarks and prospect inputs.</w:t>
            </w:r>
          </w:p>
        </w:tc>
      </w:tr>
      <w:tr>
        <w:tc>
          <w:tcPr>
            <w:tcW w:type="dxa" w:w="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ROI Builder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5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Produces financial business case including payback period, NPV, and 3-year ROI.</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Scope &amp; Configuration Tool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Defines solution modules, integrations, data migration scope, and delivery effort.</w:t>
            </w:r>
          </w:p>
        </w:tc>
      </w:tr>
      <w:tr>
        <w:tc>
          <w:tcPr>
            <w:tcW w:type="dxa" w:w="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SoW Generator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Creates structured Statement of Work from scope definition.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Timeline Simulator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Estimates delivery phases and duration based on scope.</w:t>
            </w:r>
          </w:p>
        </w:tc>
      </w:tr>
      <w:tr>
        <w:tc>
          <w:tcPr>
            <w:tcW w:type="dxa" w:w="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Risk Profiler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Assesses implementation readiness and flags delivery risk factors.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 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Visualises system landscape and integration points.</w:t>
            </w:r>
          </w:p>
        </w:tc>
      </w:tr>
      <w:tr>
        <w:tc>
          <w:tcPr>
            <w:tcW w:type="dxa" w:w="3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w:t>
            </w:r>
          </w:p>
        </w:tc>
        <w:tc>
          <w:tcPr>
            <w:tcW w:type="dxa" w:w="2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Proposal Generator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54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Combines all Phase 1-2 outputs into a single formatted proposal document.</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7. Module Specifications</w:t>
      </w:r>
    </w:p>
    <w:p>
      <w:pPr>
        <w:pBdr>
          <w:bottom w:val="single" w:color="2E75B6" w:sz="6"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7.1 Qualification Engine</w:t>
      </w:r>
    </w:p>
    <w:p>
      <w:pPr>
        <w:spacing w:before="180" w:after="60"/>
      </w:pPr>
      <w:r>
        <w:rPr>
          <w:rFonts w:ascii="Arial" w:cs="Arial" w:eastAsia="Arial" w:hAnsi="Arial"/>
          <w:b/>
          <w:bCs/>
          <w:color w:val="595959"/>
          <w:sz w:val="22"/>
          <w:szCs w:val="22"/>
        </w:rPr>
        <w:t xml:space="preserve">Purpose</w:t>
      </w:r>
    </w:p>
    <w:p>
      <w:pPr>
        <w:spacing w:before="60" w:after="60"/>
      </w:pPr>
      <w:r>
        <w:rPr>
          <w:rFonts w:ascii="Arial" w:cs="Arial" w:eastAsia="Arial" w:hAnsi="Arial"/>
          <w:sz w:val="22"/>
          <w:szCs w:val="22"/>
        </w:rPr>
        <w:t xml:space="preserve">Provides a two-stage qualification gate: a lightweight BANT screen as an entry filter, followed by full MEDDPICC scoring for opportunities that pass.</w:t>
      </w:r>
    </w:p>
    <w:p>
      <w:pPr>
        <w:spacing w:before="60" w:after="60"/>
      </w:pPr>
      <w:r>
        <w:t xml:space="preserve"/>
      </w:r>
    </w:p>
    <w:p>
      <w:pPr>
        <w:spacing w:before="180" w:after="60"/>
      </w:pPr>
      <w:r>
        <w:rPr>
          <w:rFonts w:ascii="Arial" w:cs="Arial" w:eastAsia="Arial" w:hAnsi="Arial"/>
          <w:b/>
          <w:bCs/>
          <w:color w:val="595959"/>
          <w:sz w:val="22"/>
          <w:szCs w:val="22"/>
        </w:rPr>
        <w:t xml:space="preserve">BANT Pre-Screen (Stage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Criterion</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Input Type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Pass Threshold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Budget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Indicative / Unknown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Indicative or above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Authority</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Economic buyer identified Y/N, role</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Identified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statement (free text + category)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Pain articulated</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Timeline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Target go-live (date picker)</w:t>
            </w:r>
          </w:p>
        </w:tc>
        <w:tc>
          <w:tcPr>
            <w:tcW w:type="dxa" w:w="3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Within 18 months</w:t>
            </w:r>
          </w:p>
        </w:tc>
      </w:tr>
    </w:tbl>
    <w:p>
      <w:pPr>
        <w:spacing w:before="60" w:after="60"/>
      </w:pPr>
      <w:r>
        <w:t xml:space="preserve"/>
      </w:r>
    </w:p>
    <w:p>
      <w:pPr>
        <w:spacing w:before="180" w:after="60"/>
      </w:pPr>
      <w:r>
        <w:rPr>
          <w:rFonts w:ascii="Arial" w:cs="Arial" w:eastAsia="Arial" w:hAnsi="Arial"/>
          <w:b/>
          <w:bCs/>
          <w:color w:val="595959"/>
          <w:sz w:val="22"/>
          <w:szCs w:val="22"/>
        </w:rPr>
        <w:t xml:space="preserve">MEDDPICC Scoring (Stage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400"/>
        <w:gridCol w:w="31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Element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Scoring</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Metrics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Quantified impact captured Y/N, value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Linked to CoI module output</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Economic Buyer</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Name, role, engagement level</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Must be CFO or CFO-adjacent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Decision Criteria</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Criteria listed, Mysoft alignment rated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BDE self-assessed</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Decision Process</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Steps documented, stage identified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Includes procurement/legal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Process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Contract path defined Y/N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Flags legal/procurement risk</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Identify Pain</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Pain quantified Y/N, category</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Linked to discovery output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Champion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Name, role, sponsor 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Validated internal advocate</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Competition</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Competitors identified, position rated</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0-10</w:t>
            </w:r>
          </w:p>
        </w:tc>
        <w:tc>
          <w:tcPr>
            <w:tcW w:type="dxa" w:w="3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Win/loss risk flag</w:t>
            </w:r>
          </w:p>
        </w:tc>
      </w:tr>
    </w:tbl>
    <w:p>
      <w:pPr>
        <w:spacing w:before="60" w:after="60"/>
      </w:pPr>
      <w:r>
        <w:t xml:space="preserve"/>
      </w:r>
    </w:p>
    <w:p>
      <w:pPr>
        <w:spacing w:before="60" w:after="60"/>
      </w:pPr>
      <w:r>
        <w:rPr>
          <w:rFonts w:ascii="Arial" w:cs="Arial" w:eastAsia="Arial" w:hAnsi="Arial"/>
          <w:sz w:val="22"/>
          <w:szCs w:val="22"/>
        </w:rPr>
        <w:t xml:space="preserve">Total MEDDPICC score is displayed as a percentage with a colour-coded RAG rating. Scores below 50% trigger a warning prompt before the BDE can proceed to discovery.</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7.2 Discovery Engine</w:t>
      </w:r>
    </w:p>
    <w:p>
      <w:pPr>
        <w:spacing w:before="180" w:after="60"/>
      </w:pPr>
      <w:r>
        <w:rPr>
          <w:rFonts w:ascii="Arial" w:cs="Arial" w:eastAsia="Arial" w:hAnsi="Arial"/>
          <w:b/>
          <w:bCs/>
          <w:color w:val="595959"/>
          <w:sz w:val="22"/>
          <w:szCs w:val="22"/>
        </w:rPr>
        <w:t xml:space="preserve">Purpose</w:t>
      </w:r>
    </w:p>
    <w:p>
      <w:pPr>
        <w:spacing w:before="60" w:after="60"/>
      </w:pPr>
      <w:r>
        <w:rPr>
          <w:rFonts w:ascii="Arial" w:cs="Arial" w:eastAsia="Arial" w:hAnsi="Arial"/>
          <w:sz w:val="22"/>
          <w:szCs w:val="22"/>
        </w:rPr>
        <w:t xml:space="preserve">Structured capture of financial, operational, and technical requirements. Determines target solution and populates the shared data model for all downstream modules.</w:t>
      </w:r>
    </w:p>
    <w:p>
      <w:pPr>
        <w:spacing w:before="60" w:after="60"/>
      </w:pPr>
      <w:r>
        <w:t xml:space="preserve"/>
      </w:r>
    </w:p>
    <w:p>
      <w:pPr>
        <w:spacing w:before="180" w:after="60"/>
      </w:pPr>
      <w:r>
        <w:rPr>
          <w:rFonts w:ascii="Arial" w:cs="Arial" w:eastAsia="Arial" w:hAnsi="Arial"/>
          <w:b/>
          <w:bCs/>
          <w:color w:val="595959"/>
          <w:sz w:val="22"/>
          <w:szCs w:val="22"/>
        </w:rPr>
        <w:t xml:space="preserve">Form Structure</w:t>
      </w:r>
    </w:p>
    <w:p>
      <w:pPr>
        <w:spacing w:before="60" w:after="60"/>
      </w:pPr>
      <w:r>
        <w:rPr>
          <w:rFonts w:ascii="Arial" w:cs="Arial" w:eastAsia="Arial" w:hAnsi="Arial"/>
          <w:sz w:val="22"/>
          <w:szCs w:val="22"/>
        </w:rPr>
        <w:t xml:space="preserve">Discovery is presented as a tabbed or stepped form. Sections are shown or hidden based on prior answers (see Section 5). Each section takes 5-10 minutes to complete. Progress is saved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Section</w:t>
            </w:r>
          </w:p>
        </w:tc>
        <w:tc>
          <w:tcPr>
            <w:tcW w:type="dxa" w:w="6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Organisation Profile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Size, sector, geography, current ERP/systems, go-live target</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Financial Operations</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Finance team size, month-end close duration, reporting requirements, multi-entity, multi-currency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Manufacturing (X3)</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Production model (MTO/MTS/ETO), BOM complexity, MRP use, shop floor data capture</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Distribution (X3)</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Warehouse locations, stock management maturity, 3PL, EDI requirements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Services (Intacct)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types, billing models, resource management, revenue recognition standard</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SaaS / Subscription (Intacct)</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Billing engine, ARR/MRR tracking, churn reporting, ASC 606 / IFRS 15 compliance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Non-Profit / Legal (Intacct)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Fund accounting, grant tracking, matter billing, regulatory reporting</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Integration &amp; Data</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Current integrations, data migration scope, API/EDI requirements, volume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People &amp; Change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team IT readiness, change sponsor, previous implementation history</w:t>
            </w:r>
          </w:p>
        </w:tc>
      </w:tr>
      <w:tr>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Budget &amp; Procurement</w:t>
            </w:r>
          </w:p>
        </w:tc>
        <w:tc>
          <w:tcPr>
            <w:tcW w:type="dxa" w:w="6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Budget range, procurement process, board approval required Y/N</w:t>
            </w:r>
          </w:p>
        </w:tc>
      </w:tr>
    </w:tbl>
    <w:p>
      <w:pPr>
        <w:spacing w:before="60" w:after="60"/>
      </w:pPr>
      <w:r>
        <w:t xml:space="preserve"/>
      </w:r>
    </w:p>
    <w:p>
      <w:pPr>
        <w:spacing w:before="60" w:after="60"/>
      </w:pPr>
      <w:r>
        <w:rPr>
          <w:rFonts w:ascii="Arial" w:cs="Arial" w:eastAsia="Arial" w:hAnsi="Arial"/>
          <w:sz w:val="22"/>
          <w:szCs w:val="22"/>
        </w:rPr>
        <w:t xml:space="preserve">On completion, the platform displays the recommended solution and prompts the BDE to confirm before proceeding.</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7.3 Cost of Inaction Calculator</w:t>
      </w:r>
    </w:p>
    <w:p>
      <w:pPr>
        <w:spacing w:before="180" w:after="60"/>
      </w:pPr>
      <w:r>
        <w:rPr>
          <w:rFonts w:ascii="Arial" w:cs="Arial" w:eastAsia="Arial" w:hAnsi="Arial"/>
          <w:b/>
          <w:bCs/>
          <w:color w:val="595959"/>
          <w:sz w:val="22"/>
          <w:szCs w:val="22"/>
        </w:rPr>
        <w:t xml:space="preserve">Purpose</w:t>
      </w:r>
    </w:p>
    <w:p>
      <w:pPr>
        <w:spacing w:before="60" w:after="60"/>
      </w:pPr>
      <w:r>
        <w:rPr>
          <w:rFonts w:ascii="Arial" w:cs="Arial" w:eastAsia="Arial" w:hAnsi="Arial"/>
          <w:sz w:val="22"/>
          <w:szCs w:val="22"/>
        </w:rPr>
        <w:t xml:space="preserve">Quantifies the annual cost of maintaining the current-state system. Outputs are used directly in the ROI Builder and Cost of Inaction document.</w:t>
      </w:r>
    </w:p>
    <w:p>
      <w:pPr>
        <w:spacing w:before="60" w:after="60"/>
      </w:pPr>
      <w:r>
        <w:t xml:space="preserve"/>
      </w:r>
    </w:p>
    <w:p>
      <w:pPr>
        <w:spacing w:before="180" w:after="60"/>
      </w:pPr>
      <w:r>
        <w:rPr>
          <w:rFonts w:ascii="Arial" w:cs="Arial" w:eastAsia="Arial" w:hAnsi="Arial"/>
          <w:b/>
          <w:bCs/>
          <w:color w:val="595959"/>
          <w:sz w:val="22"/>
          <w:szCs w:val="22"/>
        </w:rPr>
        <w:t xml:space="preserve">Input Categories and Benchmark Defaults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Benchmark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Manual data re-entry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Hours/week per FTE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APQC: 4.5 hrs/wk average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Month-end close duration</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Days to close</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BlackLine: 6.4 days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FTE overhead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per finance FTE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ONS/CIPD UK salary data</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Error and rework rate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 transactions requiring rework</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APQC: 2.1%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Audit preparation time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Days/year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PwC SME benchmark: 8 days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Reporting cycle time</w:t>
            </w:r>
          </w:p>
        </w:tc>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Days from period end to pack</w:t>
            </w:r>
          </w:p>
        </w:tc>
        <w:tc>
          <w:tcPr>
            <w:tcW w:type="dxa" w:w="3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Gartner: 5-7 days average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support cost (legacy)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Annual cost per system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Prospect-supplied</w:t>
            </w:r>
          </w:p>
        </w:tc>
      </w:tr>
    </w:tbl>
    <w:p>
      <w:pPr>
        <w:spacing w:before="60" w:after="60"/>
      </w:pPr>
      <w:r>
        <w:t xml:space="preserve"/>
      </w:r>
    </w:p>
    <w:p>
      <w:pPr>
        <w:spacing w:before="60" w:after="60"/>
      </w:pPr>
      <w:r>
        <w:rPr>
          <w:rFonts w:ascii="Arial" w:cs="Arial" w:eastAsia="Arial" w:hAnsi="Arial"/>
          <w:sz w:val="22"/>
          <w:szCs w:val="22"/>
        </w:rPr>
        <w:t xml:space="preserve">All defaults are editable by the BDE before calculation. Prospect-specific inputs (headcount, salary, transaction volume) are carried from the discovery data model. Output is an annualised cost figure with a line-by-line breakdown, exportable as a standalone document.</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7.4 ROI Builder</w:t>
      </w:r>
    </w:p>
    <w:p>
      <w:pPr>
        <w:spacing w:before="180" w:after="60"/>
      </w:pPr>
      <w:r>
        <w:rPr>
          <w:rFonts w:ascii="Arial" w:cs="Arial" w:eastAsia="Arial" w:hAnsi="Arial"/>
          <w:b/>
          <w:bCs/>
          <w:color w:val="595959"/>
          <w:sz w:val="22"/>
          <w:szCs w:val="22"/>
        </w:rPr>
        <w:t xml:space="preserve">Purpose</w:t>
      </w:r>
    </w:p>
    <w:p>
      <w:pPr>
        <w:spacing w:before="60" w:after="60"/>
      </w:pPr>
      <w:r>
        <w:rPr>
          <w:rFonts w:ascii="Arial" w:cs="Arial" w:eastAsia="Arial" w:hAnsi="Arial"/>
          <w:sz w:val="22"/>
          <w:szCs w:val="22"/>
        </w:rPr>
        <w:t xml:space="preserve">Produces a financial business case from Cost of Inaction outputs and estimated solution benefits. Presents payback period, 3-year ROI, and NPV.</w:t>
      </w:r>
    </w:p>
    <w:p>
      <w:pPr>
        <w:spacing w:before="60" w:after="60"/>
      </w:pPr>
      <w:r>
        <w:t xml:space="preserve"/>
      </w:r>
    </w:p>
    <w:p>
      <w:pPr>
        <w:spacing w:before="180" w:after="60"/>
      </w:pPr>
      <w:r>
        <w:rPr>
          <w:rFonts w:ascii="Arial" w:cs="Arial" w:eastAsia="Arial" w:hAnsi="Arial"/>
          <w:b/>
          <w:bCs/>
          <w:color w:val="595959"/>
          <w:sz w:val="22"/>
          <w:szCs w:val="22"/>
        </w:rPr>
        <w:t xml:space="preserve">Inputs</w:t>
      </w:r>
    </w:p>
    <w:p>
      <w:pPr>
        <w:pStyle w:val="ListParagraph"/>
        <w:numPr>
          <w:ilvl w:val="0"/>
          <w:numId w:val="2"/>
        </w:numPr>
        <w:spacing w:before="40" w:after="40"/>
      </w:pPr>
      <w:r>
        <w:rPr>
          <w:rFonts w:ascii="Arial" w:cs="Arial" w:eastAsia="Arial" w:hAnsi="Arial"/>
          <w:sz w:val="22"/>
          <w:szCs w:val="22"/>
        </w:rPr>
        <w:t xml:space="preserve">Cost of Inaction total (auto-populated from module 7.3)</w:t>
      </w:r>
    </w:p>
    <w:p>
      <w:pPr>
        <w:pStyle w:val="ListParagraph"/>
        <w:numPr>
          <w:ilvl w:val="0"/>
          <w:numId w:val="2"/>
        </w:numPr>
        <w:spacing w:before="40" w:after="40"/>
      </w:pPr>
      <w:r>
        <w:rPr>
          <w:rFonts w:ascii="Arial" w:cs="Arial" w:eastAsia="Arial" w:hAnsi="Arial"/>
          <w:sz w:val="22"/>
          <w:szCs w:val="22"/>
        </w:rPr>
        <w:t xml:space="preserve">Implementation investment (from scope tool in Phase 2; manual entry in Phase 1)</w:t>
      </w:r>
    </w:p>
    <w:p>
      <w:pPr>
        <w:pStyle w:val="ListParagraph"/>
        <w:numPr>
          <w:ilvl w:val="0"/>
          <w:numId w:val="2"/>
        </w:numPr>
        <w:spacing w:before="40" w:after="40"/>
      </w:pPr>
      <w:r>
        <w:rPr>
          <w:rFonts w:ascii="Arial" w:cs="Arial" w:eastAsia="Arial" w:hAnsi="Arial"/>
          <w:sz w:val="22"/>
          <w:szCs w:val="22"/>
        </w:rPr>
        <w:t xml:space="preserve">Annual licence cost (manual entry; configurable defaults per solution)</w:t>
      </w:r>
    </w:p>
    <w:p>
      <w:pPr>
        <w:pStyle w:val="ListParagraph"/>
        <w:numPr>
          <w:ilvl w:val="0"/>
          <w:numId w:val="2"/>
        </w:numPr>
        <w:spacing w:before="40" w:after="40"/>
      </w:pPr>
      <w:r>
        <w:rPr>
          <w:rFonts w:ascii="Arial" w:cs="Arial" w:eastAsia="Arial" w:hAnsi="Arial"/>
          <w:sz w:val="22"/>
          <w:szCs w:val="22"/>
        </w:rPr>
        <w:t xml:space="preserve">Benefit realisation timeline (slider: 3 / 6 / 9 / 12 months to full benefit)</w:t>
      </w:r>
    </w:p>
    <w:p>
      <w:pPr>
        <w:pStyle w:val="ListParagraph"/>
        <w:numPr>
          <w:ilvl w:val="0"/>
          <w:numId w:val="2"/>
        </w:numPr>
        <w:spacing w:before="40" w:after="40"/>
      </w:pPr>
      <w:r>
        <w:rPr>
          <w:rFonts w:ascii="Arial" w:cs="Arial" w:eastAsia="Arial" w:hAnsi="Arial"/>
          <w:sz w:val="22"/>
          <w:szCs w:val="22"/>
        </w:rPr>
        <w:t xml:space="preserve">Discount rate for NPV (default 8%; editable)</w:t>
      </w:r>
    </w:p>
    <w:p>
      <w:pPr>
        <w:spacing w:before="60" w:after="60"/>
      </w:pPr>
      <w:r>
        <w:t xml:space="preserve"/>
      </w:r>
    </w:p>
    <w:p>
      <w:pPr>
        <w:spacing w:before="180" w:after="60"/>
      </w:pPr>
      <w:r>
        <w:rPr>
          <w:rFonts w:ascii="Arial" w:cs="Arial" w:eastAsia="Arial" w:hAnsi="Arial"/>
          <w:b/>
          <w:bCs/>
          <w:color w:val="595959"/>
          <w:sz w:val="22"/>
          <w:szCs w:val="22"/>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Payback period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Months to recover total investment</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3-year ROI</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Percentage return over 36 months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 Present Value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Discounted cash flow over 3 years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Annual benefit value</w:t>
            </w:r>
          </w:p>
        </w:tc>
        <w:tc>
          <w:tcPr>
            <w:tcW w:type="dxa" w:w="63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Recurring saving from CoI reduction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Sensitivity analysis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 base / high scenario toggle</w:t>
            </w:r>
          </w:p>
        </w:tc>
      </w:tr>
    </w:tbl>
    <w:p>
      <w:pPr>
        <w:spacing w:before="60" w:after="60"/>
      </w:pPr>
      <w:r>
        <w:t xml:space="preserve"/>
      </w:r>
    </w:p>
    <w:p>
      <w:pPr>
        <w:spacing w:before="60" w:after="60"/>
      </w:pPr>
      <w:r>
        <w:rPr>
          <w:rFonts w:ascii="Arial" w:cs="Arial" w:eastAsia="Arial" w:hAnsi="Arial"/>
          <w:sz w:val="22"/>
          <w:szCs w:val="22"/>
        </w:rPr>
        <w:t xml:space="preserve">Output is exportable as a standalone CFO-ready document with charts and narrative.</w:t>
      </w:r>
    </w:p>
    <w:p>
      <w:pPr>
        <w:spacing w:before="60" w:after="60"/>
      </w:pPr>
      <w:r>
        <w:t xml:space="preserve"/>
      </w:r>
    </w:p>
    <w:p>
      <w:r>
        <w:br w:type="page"/>
      </w:r>
    </w:p>
    <w:p>
      <w:pPr>
        <w:pStyle w:val="Heading1"/>
        <w:spacing w:before="360" w:after="120"/>
      </w:pPr>
      <w:r>
        <w:rPr>
          <w:rFonts w:ascii="Arial" w:cs="Arial" w:eastAsia="Arial" w:hAnsi="Arial"/>
          <w:b/>
          <w:bCs/>
          <w:color w:val="1F3864"/>
          <w:sz w:val="32"/>
          <w:szCs w:val="32"/>
        </w:rPr>
        <w:t xml:space="preserve">8. User Workflow</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The workflow is linear. Each module builds on outputs from the prior step. Sessions are saved automatically and can be resumed at any point.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1400"/>
        <w:gridCol w:w="4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Module</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Output / Gate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Opportunity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record created with BDE, org name, and date. Establishes persistence key.</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Qualification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BANT pass/fail gate. MEDDPICC score. Warning if score below 50%.</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Completed discovery dataset. Solution determined and confirmed.</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4</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Cost of Inaction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Annualised cost of current state. Exportable document.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ROI Builder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business case. Exportable document.</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6</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Scope &amp; Configuration</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Scoped solution definition.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SoW Generator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Statement of Work document.</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Timeline Simulator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Phased delivery timeline.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Profiler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 readiness assessment.</w:t>
            </w:r>
          </w:p>
        </w:tc>
      </w:tr>
      <w:tr>
        <w:tc>
          <w:tcPr>
            <w:tcW w:type="dxa" w:w="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10</w:t>
            </w:r>
          </w:p>
        </w:tc>
        <w:tc>
          <w:tcPr>
            <w:tcW w:type="dxa" w:w="2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Proposal Generator</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47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Combined proposal document (all outputs).</w:t>
            </w:r>
          </w:p>
        </w:tc>
      </w:tr>
    </w:tbl>
    <w:p>
      <w:pPr>
        <w:spacing w:before="60" w:after="60"/>
      </w:pPr>
      <w:r>
        <w:t xml:space="preserve"/>
      </w:r>
    </w:p>
    <w:p>
      <w:pPr>
        <w:spacing w:before="60" w:after="60"/>
      </w:pPr>
      <w:r>
        <w:rPr>
          <w:rFonts w:ascii="Arial" w:cs="Arial" w:eastAsia="Arial" w:hAnsi="Arial"/>
          <w:sz w:val="22"/>
          <w:szCs w:val="22"/>
        </w:rPr>
        <w:t xml:space="preserve">Phase 1 steps (1-5) are the minimum viable workflow. Steps 6-10 are added in Phase 2 and are gated behind Phase 1 completion.</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9. Data Model</w:t>
      </w:r>
    </w:p>
    <w:p>
      <w:pPr>
        <w:pBdr>
          <w:bottom w:val="single" w:color="2E75B6" w:sz="6"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9.1 Entity Relationships</w:t>
      </w:r>
    </w:p>
    <w:p>
      <w:pPr>
        <w:spacing w:before="60" w:after="60"/>
      </w:pPr>
      <w:r>
        <w:rPr>
          <w:rFonts w:ascii="Arial" w:cs="Arial" w:eastAsia="Arial" w:hAnsi="Arial"/>
          <w:sz w:val="22"/>
          <w:szCs w:val="22"/>
        </w:rPr>
        <w:t xml:space="preserve">One Organisation can have multiple Opportunities. Each Opportunity has one Discovery dataset, one Financial model, one Scope definition (Phase 2), and multiple Proposal versions. All modules read from and write to the shared Opportunity record.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416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Entity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Cardinality</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Parent</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Tenant ID, name, config, branding</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Organisation</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Many per tenant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Tenant</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Org name, sector, size, contacts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per org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BDE, stage, solution, created date, MEDDPICC score</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Discovery Dataset</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 per opportunity</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Opportunity</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discovery field values, solution determination result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Financial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per opportunity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CoI inputs/outputs, ROI inputs/outputs, benchmark overrides</w:t>
            </w:r>
          </w:p>
        </w:tc>
      </w:tr>
      <w:tr>
        <w:tc>
          <w:tcPr>
            <w:tcW w:type="dxa" w:w="2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Scope Definition</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1 per opportunity</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Opportunity</w:t>
            </w:r>
          </w:p>
        </w:tc>
        <w:tc>
          <w:tcPr>
            <w:tcW w:type="dxa" w:w="4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Modules, integrations, effort, timeline (Phase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Proposal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Many per opportunity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 created date, output type, export status, PDF link</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10. UX Principles</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Progressive disclosure</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Questions are shown based on prior answers. Irrelevant sections are hidden, not removed.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input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module should be completable in 5-10 minutes. Pre-filled defaults reduce manual entry.</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Auto-save</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All progress saved continuously. No data loss on session close.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CFO-ready outputs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exported documents are formatted for a senior finance audience. No raw data dumps.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Validation and guidance</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Inline help text on complex fields. Validation prevents progression with incomplete required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Override capability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BDE can override recommendations (solution, benchmarks, scores) with mandatory reason note.</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11. Technical Architecture</w:t>
      </w:r>
    </w:p>
    <w:p>
      <w:pPr>
        <w:pBdr>
          <w:bottom w:val="single" w:color="2E75B6" w:sz="6" w:space="1"/>
        </w:pBdr>
        <w:spacing w:before="120" w:after="120"/>
      </w:pPr>
      <w:r>
        <w:t xml:space="preserve"/>
      </w:r>
    </w:p>
    <w:p>
      <w:pPr>
        <w:pStyle w:val="Heading2"/>
        <w:spacing w:before="240" w:after="80"/>
      </w:pPr>
      <w:r>
        <w:rPr>
          <w:rFonts w:ascii="Arial" w:cs="Arial" w:eastAsia="Arial" w:hAnsi="Arial"/>
          <w:b/>
          <w:bCs/>
          <w:color w:val="2E75B6"/>
          <w:sz w:val="26"/>
          <w:szCs w:val="26"/>
        </w:rPr>
        <w:t xml:space="preserve">11.1 Phase 1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Approach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application (React or similar). Mobile-responsive.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Backend</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REST API. Node.js or equivalent.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DB with tenant-scoped schema (PostgreSQL recommended). No session-only storage.</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Username/password with JWT session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Cloud-hosted. Single deployment serving all tenants.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Export</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PDF generation from template. Per-module document output.</w:t>
            </w:r>
          </w:p>
        </w:tc>
      </w:tr>
    </w:tbl>
    <w:p>
      <w:pPr>
        <w:spacing w:before="60" w:after="60"/>
      </w:pPr>
      <w:r>
        <w:t xml:space="preserve"/>
      </w:r>
    </w:p>
    <w:p>
      <w:pPr>
        <w:pStyle w:val="Heading2"/>
        <w:spacing w:before="240" w:after="80"/>
      </w:pPr>
      <w:r>
        <w:rPr>
          <w:rFonts w:ascii="Arial" w:cs="Arial" w:eastAsia="Arial" w:hAnsi="Arial"/>
          <w:b/>
          <w:bCs/>
          <w:color w:val="2E75B6"/>
          <w:sz w:val="26"/>
          <w:szCs w:val="26"/>
        </w:rPr>
        <w:t xml:space="preserve">11.2 Phase 2</w:t>
      </w:r>
    </w:p>
    <w:p>
      <w:pPr>
        <w:pStyle w:val="ListParagraph"/>
        <w:numPr>
          <w:ilvl w:val="0"/>
          <w:numId w:val="2"/>
        </w:numPr>
        <w:spacing w:before="40" w:after="40"/>
      </w:pPr>
      <w:r>
        <w:rPr>
          <w:rFonts w:ascii="Arial" w:cs="Arial" w:eastAsia="Arial" w:hAnsi="Arial"/>
          <w:sz w:val="22"/>
          <w:szCs w:val="22"/>
        </w:rPr>
        <w:t xml:space="preserve">CRM integration: Zoho CRM (MEDDPICC field sync, opportunity push/pull)</w:t>
      </w:r>
    </w:p>
    <w:p>
      <w:pPr>
        <w:pStyle w:val="ListParagraph"/>
        <w:numPr>
          <w:ilvl w:val="0"/>
          <w:numId w:val="2"/>
        </w:numPr>
        <w:spacing w:before="40" w:after="40"/>
      </w:pPr>
      <w:r>
        <w:rPr>
          <w:rFonts w:ascii="Arial" w:cs="Arial" w:eastAsia="Arial" w:hAnsi="Arial"/>
          <w:sz w:val="22"/>
          <w:szCs w:val="22"/>
        </w:rPr>
        <w:t xml:space="preserve">Scope and SoW generation modules</w:t>
      </w:r>
    </w:p>
    <w:p>
      <w:pPr>
        <w:pStyle w:val="ListParagraph"/>
        <w:numPr>
          <w:ilvl w:val="0"/>
          <w:numId w:val="2"/>
        </w:numPr>
        <w:spacing w:before="40" w:after="40"/>
      </w:pPr>
      <w:r>
        <w:rPr>
          <w:rFonts w:ascii="Arial" w:cs="Arial" w:eastAsia="Arial" w:hAnsi="Arial"/>
          <w:sz w:val="22"/>
          <w:szCs w:val="22"/>
        </w:rPr>
        <w:t xml:space="preserve">Combined proposal generator</w:t>
      </w:r>
    </w:p>
    <w:p>
      <w:pPr>
        <w:pStyle w:val="ListParagraph"/>
        <w:numPr>
          <w:ilvl w:val="0"/>
          <w:numId w:val="2"/>
        </w:numPr>
        <w:spacing w:before="40" w:after="40"/>
      </w:pPr>
      <w:r>
        <w:rPr>
          <w:rFonts w:ascii="Arial" w:cs="Arial" w:eastAsia="Arial" w:hAnsi="Arial"/>
          <w:sz w:val="22"/>
          <w:szCs w:val="22"/>
        </w:rPr>
        <w:t xml:space="preserve">Role-based dashboards with pipeline and adoption analytics</w:t>
      </w:r>
    </w:p>
    <w:p>
      <w:pPr>
        <w:spacing w:before="60" w:after="60"/>
      </w:pPr>
      <w:r>
        <w:t xml:space="preserve"/>
      </w:r>
    </w:p>
    <w:p>
      <w:pPr>
        <w:pStyle w:val="Heading2"/>
        <w:spacing w:before="240" w:after="80"/>
      </w:pPr>
      <w:r>
        <w:rPr>
          <w:rFonts w:ascii="Arial" w:cs="Arial" w:eastAsia="Arial" w:hAnsi="Arial"/>
          <w:b/>
          <w:bCs/>
          <w:color w:val="2E75B6"/>
          <w:sz w:val="26"/>
          <w:szCs w:val="26"/>
        </w:rPr>
        <w:t xml:space="preserve">11.3 Phase 3</w:t>
      </w:r>
    </w:p>
    <w:p>
      <w:pPr>
        <w:pStyle w:val="ListParagraph"/>
        <w:numPr>
          <w:ilvl w:val="0"/>
          <w:numId w:val="2"/>
        </w:numPr>
        <w:spacing w:before="40" w:after="40"/>
      </w:pPr>
      <w:r>
        <w:rPr>
          <w:rFonts w:ascii="Arial" w:cs="Arial" w:eastAsia="Arial" w:hAnsi="Arial"/>
          <w:sz w:val="22"/>
          <w:szCs w:val="22"/>
        </w:rPr>
        <w:t xml:space="preserve">LLM integration: opportunity scoring, narrative content generation, benchmark suggestion</w:t>
      </w:r>
    </w:p>
    <w:p>
      <w:pPr>
        <w:pStyle w:val="ListParagraph"/>
        <w:numPr>
          <w:ilvl w:val="0"/>
          <w:numId w:val="2"/>
        </w:numPr>
        <w:spacing w:before="40" w:after="40"/>
      </w:pPr>
      <w:r>
        <w:rPr>
          <w:rFonts w:ascii="Arial" w:cs="Arial" w:eastAsia="Arial" w:hAnsi="Arial"/>
          <w:sz w:val="22"/>
          <w:szCs w:val="22"/>
        </w:rPr>
        <w:t xml:space="preserve">Architecture diagram builder</w:t>
      </w:r>
    </w:p>
    <w:p>
      <w:pPr>
        <w:pStyle w:val="ListParagraph"/>
        <w:numPr>
          <w:ilvl w:val="0"/>
          <w:numId w:val="2"/>
        </w:numPr>
        <w:spacing w:before="40" w:after="40"/>
      </w:pPr>
      <w:r>
        <w:rPr>
          <w:rFonts w:ascii="Arial" w:cs="Arial" w:eastAsia="Arial" w:hAnsi="Arial"/>
          <w:sz w:val="22"/>
          <w:szCs w:val="22"/>
        </w:rPr>
        <w:t xml:space="preserve">Partner tenant self-service provisioning</w:t>
      </w:r>
    </w:p>
    <w:p>
      <w:pPr>
        <w:pStyle w:val="ListParagraph"/>
        <w:numPr>
          <w:ilvl w:val="0"/>
          <w:numId w:val="2"/>
        </w:numPr>
        <w:spacing w:before="40" w:after="40"/>
      </w:pPr>
      <w:r>
        <w:rPr>
          <w:rFonts w:ascii="Arial" w:cs="Arial" w:eastAsia="Arial" w:hAnsi="Arial"/>
          <w:sz w:val="22"/>
          <w:szCs w:val="22"/>
        </w:rPr>
        <w:t xml:space="preserve">Benchmarking database (anonymised cross-tenant data)</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12. Phase 1 Document Outputs</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Phase 1 produces three standalone exportable documents. Each is formatted for direct use with a CFO or finance leadership audience.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Source Module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Cost of Inaction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Current-state cost breakdown by category, annualised total, benchmark comparisons, prospect inputs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ROI Business Case</w:t>
            </w:r>
          </w:p>
        </w:tc>
        <w:tc>
          <w:tcPr>
            <w:tcW w:type="dxa" w:w="1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7.4</w:t>
            </w:r>
          </w:p>
        </w:tc>
        <w:tc>
          <w:tcPr>
            <w:tcW w:type="dxa" w:w="51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Investment summary, payback period, 3-year ROI, NPV, sensitivity scenarios, benefit narrative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Discovery &amp; Solution Summary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solution recommendation, key requirements captured, solution fit rationale, next steps</w:t>
            </w:r>
          </w:p>
        </w:tc>
      </w:tr>
    </w:tbl>
    <w:p>
      <w:pPr>
        <w:spacing w:before="60" w:after="60"/>
      </w:pPr>
      <w:r>
        <w:t xml:space="preserve"/>
      </w:r>
    </w:p>
    <w:p>
      <w:pPr>
        <w:spacing w:before="60" w:after="60"/>
      </w:pPr>
      <w:r>
        <w:rPr>
          <w:rFonts w:ascii="Arial" w:cs="Arial" w:eastAsia="Arial" w:hAnsi="Arial"/>
          <w:sz w:val="22"/>
          <w:szCs w:val="22"/>
        </w:rPr>
        <w:t xml:space="preserve">All documents are exported as PDF. Templates are configurable per tenant. Mysoft branding applied by default.</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13. Proposal History and Version Log</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Each exported document is logged against the Opportunity record with the following metadata:</w:t>
      </w:r>
    </w:p>
    <w:p>
      <w:pPr>
        <w:pStyle w:val="ListParagraph"/>
        <w:numPr>
          <w:ilvl w:val="0"/>
          <w:numId w:val="2"/>
        </w:numPr>
        <w:spacing w:before="40" w:after="40"/>
      </w:pPr>
      <w:r>
        <w:rPr>
          <w:rFonts w:ascii="Arial" w:cs="Arial" w:eastAsia="Arial" w:hAnsi="Arial"/>
          <w:sz w:val="22"/>
          <w:szCs w:val="22"/>
        </w:rPr>
        <w:t xml:space="preserve">Document type</w:t>
      </w:r>
    </w:p>
    <w:p>
      <w:pPr>
        <w:pStyle w:val="ListParagraph"/>
        <w:numPr>
          <w:ilvl w:val="0"/>
          <w:numId w:val="2"/>
        </w:numPr>
        <w:spacing w:before="40" w:after="40"/>
      </w:pPr>
      <w:r>
        <w:rPr>
          <w:rFonts w:ascii="Arial" w:cs="Arial" w:eastAsia="Arial" w:hAnsi="Arial"/>
          <w:sz w:val="22"/>
          <w:szCs w:val="22"/>
        </w:rPr>
        <w:t xml:space="preserve">Version number (auto-incremented per document type per opportunity)</w:t>
      </w:r>
    </w:p>
    <w:p>
      <w:pPr>
        <w:pStyle w:val="ListParagraph"/>
        <w:numPr>
          <w:ilvl w:val="0"/>
          <w:numId w:val="2"/>
        </w:numPr>
        <w:spacing w:before="40" w:after="40"/>
      </w:pPr>
      <w:r>
        <w:rPr>
          <w:rFonts w:ascii="Arial" w:cs="Arial" w:eastAsia="Arial" w:hAnsi="Arial"/>
          <w:sz w:val="22"/>
          <w:szCs w:val="22"/>
        </w:rPr>
        <w:t xml:space="preserve">Created by (BDE name)</w:t>
      </w:r>
    </w:p>
    <w:p>
      <w:pPr>
        <w:pStyle w:val="ListParagraph"/>
        <w:numPr>
          <w:ilvl w:val="0"/>
          <w:numId w:val="2"/>
        </w:numPr>
        <w:spacing w:before="40" w:after="40"/>
      </w:pPr>
      <w:r>
        <w:rPr>
          <w:rFonts w:ascii="Arial" w:cs="Arial" w:eastAsia="Arial" w:hAnsi="Arial"/>
          <w:sz w:val="22"/>
          <w:szCs w:val="22"/>
        </w:rPr>
        <w:t xml:space="preserve">Created date and time</w:t>
      </w:r>
    </w:p>
    <w:p>
      <w:pPr>
        <w:pStyle w:val="ListParagraph"/>
        <w:numPr>
          <w:ilvl w:val="0"/>
          <w:numId w:val="2"/>
        </w:numPr>
        <w:spacing w:before="40" w:after="40"/>
      </w:pPr>
      <w:r>
        <w:rPr>
          <w:rFonts w:ascii="Arial" w:cs="Arial" w:eastAsia="Arial" w:hAnsi="Arial"/>
          <w:sz w:val="22"/>
          <w:szCs w:val="22"/>
        </w:rPr>
        <w:t xml:space="preserve">Export status (draft / final)</w:t>
      </w:r>
    </w:p>
    <w:p>
      <w:pPr>
        <w:pStyle w:val="ListParagraph"/>
        <w:numPr>
          <w:ilvl w:val="0"/>
          <w:numId w:val="2"/>
        </w:numPr>
        <w:spacing w:before="40" w:after="40"/>
      </w:pPr>
      <w:r>
        <w:rPr>
          <w:rFonts w:ascii="Arial" w:cs="Arial" w:eastAsia="Arial" w:hAnsi="Arial"/>
          <w:sz w:val="22"/>
          <w:szCs w:val="22"/>
        </w:rPr>
        <w:t xml:space="preserve">PDF file link</w:t>
      </w:r>
    </w:p>
    <w:p>
      <w:pPr>
        <w:spacing w:before="60" w:after="60"/>
      </w:pPr>
      <w:r>
        <w:t xml:space="preserve"/>
      </w:r>
    </w:p>
    <w:p>
      <w:pPr>
        <w:spacing w:before="60" w:after="60"/>
      </w:pPr>
      <w:r>
        <w:rPr>
          <w:rFonts w:ascii="Arial" w:cs="Arial" w:eastAsia="Arial" w:hAnsi="Arial"/>
          <w:sz w:val="22"/>
          <w:szCs w:val="22"/>
        </w:rPr>
        <w:t xml:space="preserve">Managers can view the full document history for any opportunity within their access scope. Documents are not deleted; superseded versions are retained.</w:t>
      </w:r>
    </w:p>
    <w:p>
      <w:pPr>
        <w:spacing w:before="60" w:after="60"/>
      </w:pPr>
      <w:r>
        <w:t xml:space="preserve"/>
      </w:r>
    </w:p>
    <w:p>
      <w:pPr>
        <w:pStyle w:val="Heading1"/>
        <w:spacing w:before="360" w:after="120"/>
      </w:pPr>
      <w:r>
        <w:rPr>
          <w:rFonts w:ascii="Arial" w:cs="Arial" w:eastAsia="Arial" w:hAnsi="Arial"/>
          <w:b/>
          <w:bCs/>
          <w:color w:val="1F3864"/>
          <w:sz w:val="32"/>
          <w:szCs w:val="32"/>
        </w:rPr>
        <w:t xml:space="preserve">14. Success Metrics</w:t>
      </w:r>
    </w:p>
    <w:p>
      <w:pPr>
        <w:pBdr>
          <w:bottom w:val="single" w:color="2E75B6" w:sz="6" w:space="1"/>
        </w:pBdr>
        <w:spacing w:before="120" w:after="120"/>
      </w:pPr>
      <w:r>
        <w:t xml:space="preserve"/>
      </w:r>
    </w:p>
    <w:p>
      <w:pPr>
        <w:spacing w:before="60" w:after="60"/>
      </w:pPr>
      <w:r>
        <w:rPr>
          <w:rFonts w:ascii="Arial" w:cs="Arial" w:eastAsia="Arial" w:hAnsi="Arial"/>
          <w:sz w:val="22"/>
          <w:szCs w:val="22"/>
        </w:rPr>
        <w:t xml:space="preserve">Primary metrics will be tracked from the point of deployment. Baseline will be established from the first 90 days of usage data.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Tool adoption rate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new biz</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Opportunity with completed Phase 1 workflow / total new biz opportunities</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Close rate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Baseline + 25-40%</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Deals won / deals qualified through tool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Sales cycle duration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Baseline - 20-30%</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Days from opportunity creation to close</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Proposal turnaround time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&lt; 5 working days</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Opportunity creation to first document export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Average deal size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over time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 value of closed won deals through tool vs prior period</w:t>
            </w:r>
          </w:p>
        </w:tc>
      </w:tr>
      <w:tr>
        <w:tc>
          <w:tcPr>
            <w:tcW w:type="dxa" w:w="30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MEDDPICC score at close</w:t>
            </w:r>
          </w:p>
        </w:tc>
        <w:tc>
          <w:tcPr>
            <w:tcW w:type="dxa" w:w="24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Trending up</w:t>
            </w:r>
          </w:p>
        </w:tc>
        <w:tc>
          <w:tcPr>
            <w:tcW w:type="dxa" w:w="39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Average MEDDPICC score of closed won vs closed lost</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15. Ownership and Governance</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Product Owner (Phase 1)</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Jamie (MD) - owns content, logic, benchmarks, and sign-off on Phase 1 build.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 of Sales &amp; Marketing - transition planned post Phase 1 stabilisation.</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Technical Lead</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In-house development team. AI-powered build (Claude-assisted).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Content Maintenance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Product owner responsible for benchmark data refresh (minimum annual), solution logic updates, and template updates.</w:t>
            </w:r>
          </w:p>
        </w:tc>
      </w:tr>
      <w:tr>
        <w:tc>
          <w:tcPr>
            <w:tcW w:type="dxa" w:w="28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Change Control</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Changes to solution determination logic and scoring thresholds require product owner sign-off.</w:t>
            </w:r>
          </w:p>
        </w:tc>
      </w:tr>
    </w:tbl>
    <w:p>
      <w:pPr>
        <w:spacing w:before="60" w:after="60"/>
      </w:pPr>
      <w:r>
        <w:t xml:space="preserve"/>
      </w:r>
    </w:p>
    <w:p>
      <w:pPr>
        <w:pStyle w:val="Heading1"/>
        <w:spacing w:before="360" w:after="120"/>
      </w:pPr>
      <w:r>
        <w:rPr>
          <w:rFonts w:ascii="Arial" w:cs="Arial" w:eastAsia="Arial" w:hAnsi="Arial"/>
          <w:b/>
          <w:bCs/>
          <w:color w:val="1F3864"/>
          <w:sz w:val="32"/>
          <w:szCs w:val="32"/>
        </w:rPr>
        <w:t xml:space="preserve">16. Roadmap</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 2026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Qualification, Discovery, Cost of Inaction, ROI Builder. Three standalone document outputs. Multi-tenant architecture. User auth and role-based access.</w:t>
            </w:r>
          </w:p>
        </w:tc>
      </w:tr>
      <w:tr>
        <w:tc>
          <w:tcPr>
            <w:tcW w:type="dxa" w:w="12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2</w:t>
            </w:r>
          </w:p>
        </w:tc>
        <w:tc>
          <w:tcPr>
            <w:tcW w:type="dxa" w:w="160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Q3-Q4 2026</w:t>
            </w:r>
          </w:p>
        </w:tc>
        <w:tc>
          <w:tcPr>
            <w:tcW w:type="dxa" w:w="6560"/>
            <w:tcBorders>
              <w:top w:val="single" w:color="CCCCCC" w:sz="1"/>
              <w:left w:val="single" w:color="CCCCCC" w:sz="1"/>
              <w:bottom w:val="single" w:color="CCCCCC" w:sz="1"/>
              <w:right w:val="single" w:color="CCCCCC" w:sz="1"/>
            </w:tcBorders>
            <w:shd w:fill="F2F7FC" w:val="clear"/>
            <w:tcMar>
              <w:top w:type="dxa" w:w="80"/>
              <w:left w:type="dxa" w:w="120"/>
              <w:bottom w:type="dxa" w:w="80"/>
              <w:right w:type="dxa" w:w="120"/>
            </w:tcMar>
          </w:tcPr>
          <w:p>
            <w:r>
              <w:rPr>
                <w:rFonts w:ascii="Arial" w:cs="Arial" w:eastAsia="Arial" w:hAnsi="Arial"/>
                <w:sz w:val="20"/>
                <w:szCs w:val="20"/>
              </w:rPr>
              <w:t xml:space="preserve">Scope &amp; SoW, Timeline Simulator, Risk Profiler, Proposal Generator. Zoho CRM integration. Dashboards and analytics.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integration (opportunity scoring, content generation). Architecture diagram builder. Partner self-service provisioning. Benchmarking database.</w:t>
            </w:r>
          </w:p>
        </w:tc>
      </w:tr>
    </w:tbl>
    <w:p>
      <w:pPr>
        <w:spacing w:before="60" w:after="60"/>
      </w:pPr>
      <w:r>
        <w:t xml:space="preserve"/>
      </w:r>
    </w:p>
    <w:p>
      <w:pPr>
        <w:pBdr>
          <w:bottom w:val="single" w:color="1F3864" w:sz="6" w:space="1"/>
        </w:pBdr>
        <w:spacing w:before="120" w:after="120"/>
      </w:pPr>
      <w:r>
        <w:t xml:space="preserve"/>
      </w:r>
    </w:p>
    <w:p>
      <w:pPr>
        <w:spacing w:before="240" w:after="60"/>
        <w:jc w:val="center"/>
      </w:pPr>
      <w:r>
        <w:rPr>
          <w:rFonts w:ascii="Arial" w:cs="Arial" w:eastAsia="Arial" w:hAnsi="Arial"/>
          <w:color w:val="595959"/>
          <w:sz w:val="18"/>
          <w:szCs w:val="18"/>
        </w:rPr>
        <w:t xml:space="preserve">Mysoft Ltd  |  Confidential  |  Version 2.0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pPr>
    <w:r>
      <w:rPr>
        <w:rFonts w:ascii="Arial" w:cs="Arial" w:eastAsia="Arial" w:hAnsi="Arial"/>
        <w:color w:val="595959"/>
        <w:sz w:val="18"/>
        <w:szCs w:val="18"/>
      </w:rPr>
      <w:t xml:space="preserve">Mysoft Ltd | Confidential</w:t>
    </w:r>
    <w:r>
      <w:rPr>
        <w:rFonts w:ascii="Arial" w:cs="Arial" w:eastAsia="Arial" w:hAnsi="Arial"/>
        <w:color w:val="595959"/>
        <w:sz w:val="18"/>
        <w:szCs w:val="18"/>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pPr>
    <w:r>
      <w:rPr>
        <w:rFonts w:ascii="Arial" w:cs="Arial" w:eastAsia="Arial" w:hAnsi="Arial"/>
        <w:b/>
        <w:bCs/>
        <w:color w:val="1F3864"/>
        <w:sz w:val="18"/>
        <w:szCs w:val="18"/>
      </w:rPr>
      <w:t xml:space="preserve">Mysoft Sales Acceleration Suite</w:t>
    </w:r>
    <w:r>
      <w:rPr>
        <w:rFonts w:ascii="Arial" w:cs="Arial" w:eastAsia="Arial" w:hAnsi="Arial"/>
        <w:color w:val="595959"/>
        <w:sz w:val="18"/>
        <w:szCs w:val="18"/>
      </w:rPr>
      <w:t xml:space="preserve">	Product Specification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2026-03-28T22:01:49.672Z</dcterms:created>
  <dcterms:modified xsi:type="dcterms:W3CDTF">2026-03-28T22:01:49.673Z</dcterms:modified>
</cp:coreProperties>
</file>

<file path=docProps/custom.xml><?xml version="1.0" encoding="utf-8"?>
<Properties xmlns="http://schemas.openxmlformats.org/officeDocument/2006/custom-properties" xmlns:vt="http://schemas.openxmlformats.org/officeDocument/2006/docPropsVTypes"/>
</file>