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21-06-2022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Амиров Азат Гумерович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1073
(623)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RV508-S01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1074
(633)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MF4410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1075
(1015)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1076
(1863)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6000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1077
(2357)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943N</w:t>
            </w:r>
          </w:p>
        </w:tc>
        <w:tc>
          <w:tcPr>
            <w:tcW w:w="2300" w:type="dxa"/>
          </w:tcPr>
          <w:p>
            <w:pPr/>
            <w:r>
              <w:rPr/>
              <w:t xml:space="preserve">MY19HLOZ110485F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1079
(2845)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RV511-S06</w:t>
            </w:r>
          </w:p>
        </w:tc>
        <w:tc>
          <w:tcPr>
            <w:tcW w:w="2300" w:type="dxa"/>
          </w:tcPr>
          <w:p>
            <w:pPr/>
            <w:r>
              <w:rPr/>
              <w:t xml:space="preserve">FZEL93JB400022H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1080
(3006)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940N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1081
(3263)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1082
(4052)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Aspire 5315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1084
(5410)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1085
(7496)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1086
(8210)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Сетевое оборудование</w:t>
            </w:r>
          </w:p>
        </w:tc>
        <w:tc>
          <w:tcPr>
            <w:tcW w:w="3700" w:type="dxa"/>
          </w:tcPr>
          <w:p>
            <w:pPr/>
            <w:r>
              <w:rPr/>
              <w:t xml:space="preserve">Alcatel HH40V</w:t>
            </w:r>
          </w:p>
        </w:tc>
        <w:tc>
          <w:tcPr>
            <w:tcW w:w="2300" w:type="dxa"/>
          </w:tcPr>
          <w:p>
            <w:pPr/>
            <w:r>
              <w:rPr/>
              <w:t xml:space="preserve">358481083016196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2412
(6832)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LVW4843190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2819
(1395)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CZC115CTB3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2820
(5683)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G920WA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3814
(7587)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LVW4634600</w:t>
            </w:r>
          </w:p>
        </w:tc>
        <w:tc>
          <w:tcPr>
            <w:tcW w:w="1500" w:type="dxa"/>
          </w:tcPr>
          <w:p>
            <w:pPr/>
            <w:r>
              <w:rPr/>
              <w:t xml:space="preserve">12.01.2021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5206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Амиров А.Г.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