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16-11-2021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Прокудина Жанна Александровна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0483
(5181)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Pavilion 23xi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0484
(5542)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0485
(7607)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VCF8104848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0486
(7810)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M2040dn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VCF8Z76215</w:t>
            </w:r>
          </w:p>
        </w:tc>
        <w:tc>
          <w:tcPr>
            <w:tcW w:w="1500" w:type="dxa"/>
          </w:tcPr>
          <w:p>
            <w:pPr/>
            <w:r>
              <w:rPr/>
              <w:t xml:space="preserve">28.08.2020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0487
(7596)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ECOSYS M8130cidn</w:t>
            </w:r>
          </w:p>
        </w:tc>
        <w:tc>
          <w:tcPr>
            <w:tcW w:w="2300" w:type="dxa"/>
          </w:tcPr>
          <w:p>
            <w:pPr/>
            <w:r>
              <w:rPr/>
              <w:t xml:space="preserve">VXT7Z00606</w:t>
            </w:r>
          </w:p>
        </w:tc>
        <w:tc>
          <w:tcPr>
            <w:tcW w:w="1500" w:type="dxa"/>
          </w:tcPr>
          <w:p>
            <w:pPr/>
            <w:r>
              <w:rPr/>
              <w:t xml:space="preserve">29.09.2021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1896
(8293)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VCG9X49246</w:t>
            </w:r>
          </w:p>
        </w:tc>
        <w:tc>
          <w:tcPr>
            <w:tcW w:w="1500" w:type="dxa"/>
          </w:tcPr>
          <w:p>
            <w:pPr/>
            <w:r>
              <w:rPr/>
              <w:t xml:space="preserve">05.10.2020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Прокудина Ж.А.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