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</w:pP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Fikrlarni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yaratish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: “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metodi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Reja</w:t>
      </w:r>
      <w:proofErr w:type="spellEnd"/>
      <w:proofErr w:type="gram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: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3.1. “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metodining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mazmun-mohiyati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bosqichlari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3.2. “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metodidan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samarali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foydalanish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qoidalari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3.3. “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turlari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3.4.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samarali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usullar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</w:p>
    <w:p w:rsid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</w:pPr>
    </w:p>
    <w:p w:rsidR="0054205C" w:rsidRP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BC04E80" wp14:editId="13EC3850">
                <wp:extent cx="304800" cy="304800"/>
                <wp:effectExtent l="0" t="0" r="0" b="0"/>
                <wp:docPr id="26" name="AutoShape 33" descr="Dars rejasi: ishlab chiqish va tuzish. Ochiq dars reja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33D11" id="AutoShape 33" o:spid="_x0000_s1026" alt="Dars rejasi: ishlab chiqish va tuzish. Ochiq dars reja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gt5N3YAgAA+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50AABD">
            <wp:extent cx="5334000" cy="366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54205C" w:rsidRPr="0054205C" w:rsidRDefault="0054205C" w:rsidP="0054205C">
      <w:p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“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metodining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instrText xml:space="preserve"> HYPERLINK "https://kompy.info/mazmun-va-mohiyati.html" </w:instrText>
      </w:r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ru-RU"/>
        </w:rPr>
        <w:t>mazmun-mohiyati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ru-RU"/>
        </w:rPr>
        <w:t>bosqichlari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fldChar w:fldCharType="end"/>
      </w:r>
    </w:p>
    <w:p w:rsidR="0054205C" w:rsidRP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-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aniq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belgilab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muammolarni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maqsadida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o‘rganuvchi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guruhlar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tomonidan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yaratish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foydalanadigan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usul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Boshqariladigan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sharoitda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erkin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fikrlash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muhitida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jamoalar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muammoga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“Biz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qanday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qilishimiz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mumkin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?”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savollari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murojaat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qilishadi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juda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ko‘p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ishlab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chiqaradi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potensial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yechimlarni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topish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orasidagi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aloqalarni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o‘rnatadi</w:t>
      </w:r>
      <w:proofErr w:type="spellEnd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“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metodining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 xml:space="preserve"> bosqichlari</w:t>
      </w:r>
      <w:r w:rsidRPr="00542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EEEEE"/>
          <w:vertAlign w:val="superscript"/>
          <w:lang w:eastAsia="ru-RU"/>
        </w:rPr>
        <w:t>1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“</w:t>
      </w:r>
      <w:proofErr w:type="spell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hujum”ning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afzalliklari</w:t>
      </w:r>
      <w:proofErr w:type="spell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: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54205C" w:rsidRPr="0054205C" w:rsidRDefault="0054205C" w:rsidP="005420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natijalar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baholanmasligi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oluvchilarda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turli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fikr-gʻoyalarning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shakllanishiga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keladi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oluvchilarning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instrText xml:space="preserve"> HYPERLINK "https://kompy.info/bipolyar-tranzistorlarning-tuzilishi-ishlashi-ulanish-sxemasla.html" </w:instrTex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barchasi</w:t>
      </w:r>
      <w:proofErr w:type="spellEnd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ishtirok</w:t>
      </w:r>
      <w:proofErr w:type="spellEnd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etadi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fikr-gʻoyalar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vizuallashtirilib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boriladi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4205C" w:rsidRPr="0054205C" w:rsidRDefault="0054205C" w:rsidP="005420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oluvchilarning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boshlangʻich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bilimlarini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tekshirib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koʻrish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imkoniyati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mavjud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oluvchilarda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mavzuga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qiziqish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uygʻotadi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54205C" w:rsidRP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“</w:t>
      </w:r>
      <w:proofErr w:type="spell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hujum”ning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kamchiliklari</w:t>
      </w:r>
      <w:proofErr w:type="spellEnd"/>
      <w:r w:rsidRPr="005420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EEEEEE"/>
          <w:lang w:eastAsia="ru-RU"/>
        </w:rPr>
        <w:t>: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54205C" w:rsidRPr="0054205C" w:rsidRDefault="0054205C" w:rsidP="0054205C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beruvchi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savolni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toʻgʻri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qoʻya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instrText xml:space="preserve"> HYPERLINK "https://kompy.info/ozbekiston-respublikasi-oliy-va-maxsus-talim-vazirligi-buxgalt.html" </w:instrTex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olmaslik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beruvchidan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yuqori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darajada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eshitish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qobiliyatining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talab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etilishi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54205C" w:rsidRP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“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”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metodidan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samarali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foydalanish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val="en-US" w:eastAsia="ru-RU"/>
        </w:rPr>
        <w:t>qoidalari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Metoddan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samarali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f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ydalanish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maqsadida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quyidagi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umumiy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q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idalarga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amal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l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zim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: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oʻquvchilarning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oʻzlarini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erkin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his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etishlariga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it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yaratib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berish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gʻоyalarni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yozib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bоrish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yozuv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taxtasi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varaqlarini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tayyorlab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qoʻyish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muamm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mavzu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instrText xml:space="preserve"> HYPERLINK "https://kompy.info/multimedia-aloqa-tarmoqlari-v2.html" </w:instrTex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aniqlash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mashgʻul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jarayonida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amal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qilinishi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l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zim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boʻlgan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sharoitlarni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belgilash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bildirilayotgan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gʻ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mualliflari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as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slanishiga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erishish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qоgʻоz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varaqlari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gʻоya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fikr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lar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toʻlgandan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soʻng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yozuv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taxtasiga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оsib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qoʻyish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bildirilgan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fikrlarni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yangi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gʻ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yitish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hyperlink r:id="rId6" w:history="1"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as</w:t>
        </w:r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о</w:t>
        </w:r>
        <w:proofErr w:type="spellStart"/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sida</w:t>
        </w:r>
        <w:proofErr w:type="spellEnd"/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proofErr w:type="spellStart"/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ularni</w:t>
        </w:r>
        <w:proofErr w:type="spellEnd"/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proofErr w:type="spellStart"/>
        <w:r w:rsidRPr="0054205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quvvatlash</w:t>
        </w:r>
        <w:proofErr w:type="spellEnd"/>
      </w:hyperlink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>b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shqalar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bildirilgan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fikr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gʻ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ustidan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kulish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kin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sharxlarning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bildirilishiga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yoʻl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qoʻymaslik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yangi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gʻ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bildirish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dav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m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etayotgan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ekan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muamm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toʻgʻri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yechimini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e’l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 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instrText xml:space="preserve"> HYPERLINK "https://kompy.info/reja-kichik-guruhlarda-applikatsiya-qilishga-orgatish-orta-gur.html" </w:instrTex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qilishga</w:t>
      </w:r>
      <w:proofErr w:type="spellEnd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sh</w:t>
      </w:r>
      <w:proofErr w:type="spellEnd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о</w:t>
      </w:r>
      <w:proofErr w:type="spellStart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US" w:eastAsia="ru-RU"/>
        </w:rPr>
        <w:t>shilmaslik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4205C" w:rsidRPr="0054205C" w:rsidRDefault="0054205C" w:rsidP="0054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3-rasm. “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EEEEE"/>
          <w:lang w:eastAsia="ru-RU"/>
        </w:rPr>
        <w:t>” turlari</w:t>
      </w:r>
      <w:r w:rsidRPr="00542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EEEEE"/>
          <w:vertAlign w:val="superscript"/>
          <w:lang w:eastAsia="ru-RU"/>
        </w:rPr>
        <w:t>2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ABC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>hujumi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 xml:space="preserve"> (ABC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>Brainstorming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eastAsia="ru-RU"/>
        </w:rPr>
        <w:t>)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Ushbu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tur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klassik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hujumni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qo‘shimcha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qoida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to‘ldiradi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unda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har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bir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mashg‘ulot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buyurtma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qilingan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tartib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asosida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o‘tishi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kerakligi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aytiladi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. 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ABC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alifboning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harfini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harflardan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boshlangan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mos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keladigan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berishga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harakat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Elektron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(Electronic brainstorming</w:t>
      </w:r>
      <w:proofErr w:type="gram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)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Raqamli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yo‘naltirilgan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miya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dasturiy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ta‘minot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shunga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o‘xshash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muqobil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platformalar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birgalikda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eng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yaxshi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darajada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ishlaydi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Bunday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dasturlar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hamkasblarini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birlashtirib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o‘zlarining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qisqa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postlar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shaklida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tezkor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so‘rovlarga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imkon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Qisqa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vaqt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ichida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muddatlarni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belgilashda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ishchilar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o‘z-o‘zidan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reaksiya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ko‘rsatishga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majbur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Elektron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yuzma-yuz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muloqotlar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ochiq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suhbat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madaniyatiga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kirmaslik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foydalanish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qulayligi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klassik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asosiy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afzalliklaridan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voz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kechish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mumkin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Miya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yozuvi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(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Brainwriting</w:t>
      </w:r>
      <w:proofErr w:type="spellEnd"/>
      <w:proofErr w:type="gram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)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Klassik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farqli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o‘laroq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miya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yozuvi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jamoaviy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dinamizmga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zarar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yetkazish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shaxsiy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yozishni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keyinchalik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to‘plashni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ichiga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Belgilangan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vaqtdan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so‘ng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tashkil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etuvchi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kishi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narsalarni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to‘playdi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yozuvlar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ko‘rib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chiqiladi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baholanadi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Miya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yurishi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(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Brainwalking</w:t>
      </w:r>
      <w:proofErr w:type="spellEnd"/>
      <w:proofErr w:type="gram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)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Bu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yana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zamonaviy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turidir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ishtirokchilarining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 </w:t>
      </w:r>
      <w:proofErr w:type="spellStart"/>
      <w:r w:rsidRPr="005420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4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"https://kompy.info/reja-kirish-i-bob-mavzu-erkin-vohidov-hayoti-va-ijodini-organi-v2.html" </w:instrText>
      </w:r>
      <w:r w:rsidRPr="005420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shd w:val="clear" w:color="auto" w:fill="EEEEEE"/>
          <w:lang w:val="en-US" w:eastAsia="ru-RU"/>
        </w:rPr>
        <w:t>ijodini</w:t>
      </w:r>
      <w:proofErr w:type="spellEnd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shd w:val="clear" w:color="auto" w:fill="EEEEEE"/>
          <w:lang w:val="en-US" w:eastAsia="ru-RU"/>
        </w:rPr>
        <w:t>faollashtiradi</w:t>
      </w:r>
      <w:proofErr w:type="spellEnd"/>
      <w:r w:rsidRPr="005420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chunki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plakatlar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kichik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yozuvlarni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kelishilgan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joyda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(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masalan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xona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devorlaridan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)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alohida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joylashtiradilar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Bunday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yozuvlardan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maqsad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jamoa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a’zolariga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o‘zlarining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yozishlariga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imkon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berishdir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natijada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fikrlar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to‘plami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paydo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bo‘ladi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Bo’sh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daftar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usuli</w:t>
      </w:r>
      <w:proofErr w:type="spellEnd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 xml:space="preserve"> (Blank notebook method</w:t>
      </w:r>
      <w:proofErr w:type="gramStart"/>
      <w:r w:rsidRPr="0054205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EEEEEE"/>
          <w:lang w:val="en-US" w:eastAsia="ru-RU"/>
        </w:rPr>
        <w:t>)</w:t>
      </w:r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Daftarlar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juda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mos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to‘liq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bajarish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uchun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ancha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vaqt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talab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etiladi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Ushbu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usulida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sizga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bo‘sh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daftar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kerak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bo‘ladi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keyinchalik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u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sizning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joyingizda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odamdan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odamga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uzatiladi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Daftarni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olgandan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so‘ng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hamkasblar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o‘zlarining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fikrlarini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yozib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olishlari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allaqachon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yozilgan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sharh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berishlari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mumkin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(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yashirin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yoki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ism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bilan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).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Ushbu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turdagi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aqliy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hujum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miya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yozishining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ijobiy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tomonlarini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birlashtiradi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.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Xuddi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ikkinchisida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bo‘lgani</w:t>
      </w:r>
      <w:proofErr w:type="spellEnd"/>
      <w:proofErr w:type="gram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kabi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,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bu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daftar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ham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guruhlarga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tegishli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muhokama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qilish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va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tanlash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imkoniyatini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beradigan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g‘oyalar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portfelini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shakllantirishga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 xml:space="preserve"> </w:t>
      </w:r>
      <w:proofErr w:type="spellStart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mo‘ljallangan</w:t>
      </w:r>
      <w:proofErr w:type="spellEnd"/>
      <w:r w:rsidRPr="0054205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ru-RU"/>
        </w:rPr>
        <w:t>.</w:t>
      </w:r>
    </w:p>
    <w:p w:rsidR="0054205C" w:rsidRPr="0054205C" w:rsidRDefault="0054205C" w:rsidP="0054205C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5382" w:rsidRPr="0054205C" w:rsidRDefault="005A5382">
      <w:pPr>
        <w:rPr>
          <w:lang w:val="en-US"/>
        </w:rPr>
      </w:pPr>
    </w:p>
    <w:sectPr w:rsidR="005A5382" w:rsidRPr="0054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7743"/>
    <w:multiLevelType w:val="multilevel"/>
    <w:tmpl w:val="33D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615"/>
    <w:multiLevelType w:val="multilevel"/>
    <w:tmpl w:val="FB5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F1366"/>
    <w:multiLevelType w:val="multilevel"/>
    <w:tmpl w:val="DCE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5C"/>
    <w:rsid w:val="00290522"/>
    <w:rsid w:val="0054205C"/>
    <w:rsid w:val="005A5382"/>
    <w:rsid w:val="008B78D6"/>
    <w:rsid w:val="008E0E35"/>
    <w:rsid w:val="00A1384A"/>
    <w:rsid w:val="00B12AD0"/>
    <w:rsid w:val="00C54A1E"/>
    <w:rsid w:val="00CB502C"/>
    <w:rsid w:val="00D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7C379-CB50-40A7-BB4E-DF9278F9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py.info/xotin-qizlar-ortasida-tadbirkorlik-faoliyatini-rivojlantiris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2025-06-06T14:04:00Z</dcterms:created>
  <dcterms:modified xsi:type="dcterms:W3CDTF">2025-06-06T17:07:00Z</dcterms:modified>
</cp:coreProperties>
</file>