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628A4" w14:textId="64CBEFB6" w:rsidR="008C2A20" w:rsidRDefault="008C2A20" w:rsidP="00470233">
      <w:pPr>
        <w:spacing w:after="113" w:line="259" w:lineRule="auto"/>
        <w:ind w:left="0" w:right="0" w:firstLine="0"/>
        <w:jc w:val="left"/>
      </w:pPr>
    </w:p>
    <w:sdt>
      <w:sdtPr>
        <w:id w:val="1848524035"/>
        <w:docPartObj>
          <w:docPartGallery w:val="Table of Contents"/>
        </w:docPartObj>
      </w:sdtPr>
      <w:sdtEndPr/>
      <w:sdtContent>
        <w:p w14:paraId="1111CEAF" w14:textId="77777777" w:rsidR="008C2A20" w:rsidRDefault="007F547B">
          <w:pPr>
            <w:spacing w:after="0" w:line="259" w:lineRule="auto"/>
            <w:ind w:left="0" w:right="444" w:firstLine="0"/>
            <w:jc w:val="center"/>
          </w:pPr>
          <w:r>
            <w:rPr>
              <w:b/>
              <w:color w:val="365F91"/>
              <w:sz w:val="40"/>
            </w:rPr>
            <w:t>Table of Contents</w:t>
          </w:r>
          <w:r>
            <w:rPr>
              <w:b/>
              <w:color w:val="1C4587"/>
              <w:sz w:val="36"/>
            </w:rPr>
            <w:t xml:space="preserve">  </w:t>
          </w:r>
        </w:p>
        <w:p w14:paraId="7332BE67" w14:textId="77777777" w:rsidR="008C2A20" w:rsidRDefault="007F547B">
          <w:pPr>
            <w:spacing w:after="98" w:line="259" w:lineRule="auto"/>
            <w:ind w:left="0" w:right="0" w:firstLine="0"/>
            <w:jc w:val="left"/>
          </w:pPr>
          <w:r>
            <w:t xml:space="preserve"> </w:t>
          </w:r>
        </w:p>
        <w:p w14:paraId="7CBF6369" w14:textId="77777777" w:rsidR="008C2A20" w:rsidRDefault="007F547B">
          <w:pPr>
            <w:pStyle w:val="TOC1"/>
            <w:tabs>
              <w:tab w:val="right" w:leader="dot" w:pos="9470"/>
            </w:tabs>
          </w:pPr>
          <w:r>
            <w:fldChar w:fldCharType="begin"/>
          </w:r>
          <w:r>
            <w:instrText xml:space="preserve"> TOC \o "1-2" \h \z \u </w:instrText>
          </w:r>
          <w:r>
            <w:fldChar w:fldCharType="separate"/>
          </w:r>
          <w:hyperlink w:anchor="_Toc57544">
            <w:r w:rsidR="008C2A20">
              <w:t>Section 1: Introduction</w:t>
            </w:r>
            <w:r w:rsidR="008C2A20">
              <w:tab/>
            </w:r>
            <w:r w:rsidR="008C2A20">
              <w:fldChar w:fldCharType="begin"/>
            </w:r>
            <w:r w:rsidR="008C2A20">
              <w:instrText>PAGEREF _Toc57544 \h</w:instrText>
            </w:r>
            <w:r w:rsidR="008C2A20">
              <w:fldChar w:fldCharType="separate"/>
            </w:r>
            <w:r w:rsidR="008C2A20">
              <w:t xml:space="preserve">3 </w:t>
            </w:r>
            <w:r w:rsidR="008C2A20">
              <w:fldChar w:fldCharType="end"/>
            </w:r>
          </w:hyperlink>
        </w:p>
        <w:p w14:paraId="5555A5DC" w14:textId="77777777" w:rsidR="008C2A20" w:rsidRDefault="008C2A20">
          <w:pPr>
            <w:pStyle w:val="TOC1"/>
            <w:tabs>
              <w:tab w:val="right" w:leader="dot" w:pos="9470"/>
            </w:tabs>
          </w:pPr>
          <w:hyperlink w:anchor="_Toc57545">
            <w:r>
              <w:t>Section 2: Data Source Description</w:t>
            </w:r>
            <w:r>
              <w:tab/>
            </w:r>
            <w:r>
              <w:fldChar w:fldCharType="begin"/>
            </w:r>
            <w:r>
              <w:instrText>PAGEREF _Toc57545 \h</w:instrText>
            </w:r>
            <w:r>
              <w:fldChar w:fldCharType="separate"/>
            </w:r>
            <w:r>
              <w:t xml:space="preserve">3 </w:t>
            </w:r>
            <w:r>
              <w:fldChar w:fldCharType="end"/>
            </w:r>
          </w:hyperlink>
        </w:p>
        <w:p w14:paraId="51C8C65B" w14:textId="77777777" w:rsidR="008C2A20" w:rsidRDefault="008C2A20">
          <w:pPr>
            <w:pStyle w:val="TOC1"/>
            <w:tabs>
              <w:tab w:val="right" w:leader="dot" w:pos="9470"/>
            </w:tabs>
          </w:pPr>
          <w:hyperlink w:anchor="_Toc57546">
            <w:r>
              <w:t>Section 3: Business Requirements and Scope</w:t>
            </w:r>
            <w:r>
              <w:tab/>
            </w:r>
            <w:r>
              <w:fldChar w:fldCharType="begin"/>
            </w:r>
            <w:r>
              <w:instrText>PAGEREF _Toc57546 \h</w:instrText>
            </w:r>
            <w:r>
              <w:fldChar w:fldCharType="separate"/>
            </w:r>
            <w:r>
              <w:t xml:space="preserve">6 </w:t>
            </w:r>
            <w:r>
              <w:fldChar w:fldCharType="end"/>
            </w:r>
          </w:hyperlink>
        </w:p>
        <w:p w14:paraId="1E6E7E4E" w14:textId="77777777" w:rsidR="008C2A20" w:rsidRDefault="008C2A20">
          <w:pPr>
            <w:pStyle w:val="TOC2"/>
            <w:tabs>
              <w:tab w:val="right" w:leader="dot" w:pos="9470"/>
            </w:tabs>
          </w:pPr>
          <w:hyperlink w:anchor="_Toc57547">
            <w:r>
              <w:t>3.1 Business Context</w:t>
            </w:r>
            <w:r>
              <w:tab/>
            </w:r>
            <w:r>
              <w:fldChar w:fldCharType="begin"/>
            </w:r>
            <w:r>
              <w:instrText>PAGEREF _Toc57547 \h</w:instrText>
            </w:r>
            <w:r>
              <w:fldChar w:fldCharType="separate"/>
            </w:r>
            <w:r>
              <w:t xml:space="preserve">6 </w:t>
            </w:r>
            <w:r>
              <w:fldChar w:fldCharType="end"/>
            </w:r>
          </w:hyperlink>
        </w:p>
        <w:p w14:paraId="0FF049BC" w14:textId="77777777" w:rsidR="008C2A20" w:rsidRDefault="008C2A20">
          <w:pPr>
            <w:pStyle w:val="TOC2"/>
            <w:tabs>
              <w:tab w:val="right" w:leader="dot" w:pos="9470"/>
            </w:tabs>
          </w:pPr>
          <w:hyperlink w:anchor="_Toc57548">
            <w:r>
              <w:t>3.2 Project Objectives</w:t>
            </w:r>
            <w:r>
              <w:tab/>
            </w:r>
            <w:r>
              <w:fldChar w:fldCharType="begin"/>
            </w:r>
            <w:r>
              <w:instrText>PAGEREF _Toc57548 \h</w:instrText>
            </w:r>
            <w:r>
              <w:fldChar w:fldCharType="separate"/>
            </w:r>
            <w:r>
              <w:t xml:space="preserve">6 </w:t>
            </w:r>
            <w:r>
              <w:fldChar w:fldCharType="end"/>
            </w:r>
          </w:hyperlink>
        </w:p>
        <w:p w14:paraId="10496B25" w14:textId="77777777" w:rsidR="008C2A20" w:rsidRDefault="008C2A20">
          <w:pPr>
            <w:pStyle w:val="TOC2"/>
            <w:tabs>
              <w:tab w:val="right" w:leader="dot" w:pos="9470"/>
            </w:tabs>
          </w:pPr>
          <w:hyperlink w:anchor="_Toc57549">
            <w:r>
              <w:t>3.3 Business Questions to Address</w:t>
            </w:r>
            <w:r>
              <w:tab/>
            </w:r>
            <w:r>
              <w:fldChar w:fldCharType="begin"/>
            </w:r>
            <w:r>
              <w:instrText>PAGEREF _Toc57549 \h</w:instrText>
            </w:r>
            <w:r>
              <w:fldChar w:fldCharType="separate"/>
            </w:r>
            <w:r>
              <w:t xml:space="preserve">7 </w:t>
            </w:r>
            <w:r>
              <w:fldChar w:fldCharType="end"/>
            </w:r>
          </w:hyperlink>
        </w:p>
        <w:p w14:paraId="6BA0269B" w14:textId="77777777" w:rsidR="008C2A20" w:rsidRDefault="008C2A20">
          <w:pPr>
            <w:pStyle w:val="TOC1"/>
            <w:tabs>
              <w:tab w:val="right" w:leader="dot" w:pos="9470"/>
            </w:tabs>
          </w:pPr>
          <w:hyperlink w:anchor="_Toc57550">
            <w:r>
              <w:t>Section 4: BI Solution Design and Architecture</w:t>
            </w:r>
            <w:r>
              <w:tab/>
            </w:r>
            <w:r>
              <w:fldChar w:fldCharType="begin"/>
            </w:r>
            <w:r>
              <w:instrText>PAGEREF _Toc57550 \h</w:instrText>
            </w:r>
            <w:r>
              <w:fldChar w:fldCharType="separate"/>
            </w:r>
            <w:r>
              <w:t xml:space="preserve">7 </w:t>
            </w:r>
            <w:r>
              <w:fldChar w:fldCharType="end"/>
            </w:r>
          </w:hyperlink>
        </w:p>
        <w:p w14:paraId="79F6030A" w14:textId="77777777" w:rsidR="008C2A20" w:rsidRDefault="008C2A20">
          <w:pPr>
            <w:pStyle w:val="TOC2"/>
            <w:tabs>
              <w:tab w:val="right" w:leader="dot" w:pos="9470"/>
            </w:tabs>
          </w:pPr>
          <w:hyperlink w:anchor="_Toc57551">
            <w:r>
              <w:t>4.1 Overview of BI Architecture</w:t>
            </w:r>
            <w:r>
              <w:tab/>
            </w:r>
            <w:r>
              <w:fldChar w:fldCharType="begin"/>
            </w:r>
            <w:r>
              <w:instrText>PAGEREF _Toc57551 \h</w:instrText>
            </w:r>
            <w:r>
              <w:fldChar w:fldCharType="separate"/>
            </w:r>
            <w:r>
              <w:t xml:space="preserve">7 </w:t>
            </w:r>
            <w:r>
              <w:fldChar w:fldCharType="end"/>
            </w:r>
          </w:hyperlink>
        </w:p>
        <w:p w14:paraId="6DDF84DA" w14:textId="77777777" w:rsidR="008C2A20" w:rsidRDefault="008C2A20">
          <w:pPr>
            <w:pStyle w:val="TOC2"/>
            <w:tabs>
              <w:tab w:val="right" w:leader="dot" w:pos="9470"/>
            </w:tabs>
          </w:pPr>
          <w:hyperlink w:anchor="_Toc57552">
            <w:r>
              <w:t>4.2 BI Architecture Diagram</w:t>
            </w:r>
            <w:r>
              <w:tab/>
            </w:r>
            <w:r>
              <w:fldChar w:fldCharType="begin"/>
            </w:r>
            <w:r>
              <w:instrText>PAGEREF _Toc57552 \h</w:instrText>
            </w:r>
            <w:r>
              <w:fldChar w:fldCharType="separate"/>
            </w:r>
            <w:r>
              <w:t xml:space="preserve">8 </w:t>
            </w:r>
            <w:r>
              <w:fldChar w:fldCharType="end"/>
            </w:r>
          </w:hyperlink>
        </w:p>
        <w:p w14:paraId="32F88087" w14:textId="77777777" w:rsidR="008C2A20" w:rsidRDefault="008C2A20">
          <w:pPr>
            <w:pStyle w:val="TOC2"/>
            <w:tabs>
              <w:tab w:val="right" w:leader="dot" w:pos="9470"/>
            </w:tabs>
          </w:pPr>
          <w:hyperlink w:anchor="_Toc57553">
            <w:r>
              <w:t>4.3 Components Used in Each Layer</w:t>
            </w:r>
            <w:r>
              <w:tab/>
            </w:r>
            <w:r>
              <w:fldChar w:fldCharType="begin"/>
            </w:r>
            <w:r>
              <w:instrText>PAGEREF _Toc57553 \h</w:instrText>
            </w:r>
            <w:r>
              <w:fldChar w:fldCharType="separate"/>
            </w:r>
            <w:r>
              <w:t xml:space="preserve">8 </w:t>
            </w:r>
            <w:r>
              <w:fldChar w:fldCharType="end"/>
            </w:r>
          </w:hyperlink>
        </w:p>
        <w:p w14:paraId="02679316" w14:textId="77777777" w:rsidR="008C2A20" w:rsidRDefault="008C2A20">
          <w:pPr>
            <w:pStyle w:val="TOC2"/>
            <w:tabs>
              <w:tab w:val="right" w:leader="dot" w:pos="9470"/>
            </w:tabs>
          </w:pPr>
          <w:hyperlink w:anchor="_Toc57554">
            <w:r>
              <w:t>4.4 System Design Considerations</w:t>
            </w:r>
            <w:r>
              <w:tab/>
            </w:r>
            <w:r>
              <w:fldChar w:fldCharType="begin"/>
            </w:r>
            <w:r>
              <w:instrText>PAGEREF _Toc57554 \h</w:instrText>
            </w:r>
            <w:r>
              <w:fldChar w:fldCharType="separate"/>
            </w:r>
            <w:r>
              <w:t xml:space="preserve">9 </w:t>
            </w:r>
            <w:r>
              <w:fldChar w:fldCharType="end"/>
            </w:r>
          </w:hyperlink>
        </w:p>
        <w:p w14:paraId="5A8276E0" w14:textId="77777777" w:rsidR="008C2A20" w:rsidRDefault="008C2A20">
          <w:pPr>
            <w:pStyle w:val="TOC1"/>
            <w:tabs>
              <w:tab w:val="right" w:leader="dot" w:pos="9470"/>
            </w:tabs>
          </w:pPr>
          <w:hyperlink w:anchor="_Toc57555">
            <w:r>
              <w:t>Section 5: ETL Process</w:t>
            </w:r>
            <w:r>
              <w:tab/>
            </w:r>
            <w:r>
              <w:fldChar w:fldCharType="begin"/>
            </w:r>
            <w:r>
              <w:instrText>PAGEREF _Toc57555 \h</w:instrText>
            </w:r>
            <w:r>
              <w:fldChar w:fldCharType="separate"/>
            </w:r>
            <w:r>
              <w:t xml:space="preserve">9 </w:t>
            </w:r>
            <w:r>
              <w:fldChar w:fldCharType="end"/>
            </w:r>
          </w:hyperlink>
        </w:p>
        <w:p w14:paraId="5A175EF2" w14:textId="77777777" w:rsidR="008C2A20" w:rsidRDefault="008C2A20">
          <w:pPr>
            <w:pStyle w:val="TOC2"/>
            <w:tabs>
              <w:tab w:val="right" w:leader="dot" w:pos="9470"/>
            </w:tabs>
          </w:pPr>
          <w:hyperlink w:anchor="_Toc57556">
            <w:r>
              <w:t>5.1 Extract</w:t>
            </w:r>
            <w:r>
              <w:tab/>
            </w:r>
            <w:r>
              <w:fldChar w:fldCharType="begin"/>
            </w:r>
            <w:r>
              <w:instrText>PAGEREF _Toc57556 \h</w:instrText>
            </w:r>
            <w:r>
              <w:fldChar w:fldCharType="separate"/>
            </w:r>
            <w:r>
              <w:t xml:space="preserve">9 </w:t>
            </w:r>
            <w:r>
              <w:fldChar w:fldCharType="end"/>
            </w:r>
          </w:hyperlink>
        </w:p>
        <w:p w14:paraId="4DA24626" w14:textId="77777777" w:rsidR="008C2A20" w:rsidRDefault="008C2A20">
          <w:pPr>
            <w:pStyle w:val="TOC2"/>
            <w:tabs>
              <w:tab w:val="right" w:leader="dot" w:pos="9470"/>
            </w:tabs>
          </w:pPr>
          <w:hyperlink w:anchor="_Toc57557">
            <w:r>
              <w:t>5.2 Transform</w:t>
            </w:r>
            <w:r>
              <w:tab/>
            </w:r>
            <w:r>
              <w:fldChar w:fldCharType="begin"/>
            </w:r>
            <w:r>
              <w:instrText>PAGEREF _Toc57557 \h</w:instrText>
            </w:r>
            <w:r>
              <w:fldChar w:fldCharType="separate"/>
            </w:r>
            <w:r>
              <w:t xml:space="preserve">10 </w:t>
            </w:r>
            <w:r>
              <w:fldChar w:fldCharType="end"/>
            </w:r>
          </w:hyperlink>
        </w:p>
        <w:p w14:paraId="656A10A5" w14:textId="77777777" w:rsidR="008C2A20" w:rsidRDefault="008C2A20">
          <w:pPr>
            <w:pStyle w:val="TOC2"/>
            <w:tabs>
              <w:tab w:val="right" w:leader="dot" w:pos="9470"/>
            </w:tabs>
          </w:pPr>
          <w:hyperlink w:anchor="_Toc57558">
            <w:r>
              <w:t>5.3 Load</w:t>
            </w:r>
            <w:r>
              <w:tab/>
            </w:r>
            <w:r>
              <w:fldChar w:fldCharType="begin"/>
            </w:r>
            <w:r>
              <w:instrText>PAGEREF _Toc57558 \h</w:instrText>
            </w:r>
            <w:r>
              <w:fldChar w:fldCharType="separate"/>
            </w:r>
            <w:r>
              <w:t xml:space="preserve">11 </w:t>
            </w:r>
            <w:r>
              <w:fldChar w:fldCharType="end"/>
            </w:r>
          </w:hyperlink>
        </w:p>
        <w:p w14:paraId="310D78E9" w14:textId="77777777" w:rsidR="008C2A20" w:rsidRDefault="008C2A20">
          <w:pPr>
            <w:pStyle w:val="TOC2"/>
            <w:tabs>
              <w:tab w:val="right" w:leader="dot" w:pos="9470"/>
            </w:tabs>
          </w:pPr>
          <w:hyperlink w:anchor="_Toc57559">
            <w:r>
              <w:t>5.4 Python Libraries and Files Used</w:t>
            </w:r>
            <w:r>
              <w:tab/>
            </w:r>
            <w:r>
              <w:fldChar w:fldCharType="begin"/>
            </w:r>
            <w:r>
              <w:instrText>PAGEREF _Toc57559 \h</w:instrText>
            </w:r>
            <w:r>
              <w:fldChar w:fldCharType="separate"/>
            </w:r>
            <w:r>
              <w:t xml:space="preserve">12 </w:t>
            </w:r>
            <w:r>
              <w:fldChar w:fldCharType="end"/>
            </w:r>
          </w:hyperlink>
        </w:p>
        <w:p w14:paraId="6CE45CDB" w14:textId="77777777" w:rsidR="008C2A20" w:rsidRDefault="008C2A20">
          <w:pPr>
            <w:pStyle w:val="TOC1"/>
            <w:tabs>
              <w:tab w:val="right" w:leader="dot" w:pos="9470"/>
            </w:tabs>
          </w:pPr>
          <w:hyperlink w:anchor="_Toc57560">
            <w:r>
              <w:t>Section 6: Data Modelling and Star Schema Design</w:t>
            </w:r>
            <w:r>
              <w:tab/>
            </w:r>
            <w:r>
              <w:fldChar w:fldCharType="begin"/>
            </w:r>
            <w:r>
              <w:instrText>PAGEREF _Toc57560 \h</w:instrText>
            </w:r>
            <w:r>
              <w:fldChar w:fldCharType="separate"/>
            </w:r>
            <w:r>
              <w:t xml:space="preserve">12 </w:t>
            </w:r>
            <w:r>
              <w:fldChar w:fldCharType="end"/>
            </w:r>
          </w:hyperlink>
        </w:p>
        <w:p w14:paraId="0FCB3213" w14:textId="77777777" w:rsidR="008C2A20" w:rsidRDefault="008C2A20">
          <w:pPr>
            <w:pStyle w:val="TOC2"/>
            <w:tabs>
              <w:tab w:val="right" w:leader="dot" w:pos="9470"/>
            </w:tabs>
          </w:pPr>
          <w:hyperlink w:anchor="_Toc57561">
            <w:r>
              <w:t>6.1 Overview of the Star Schema</w:t>
            </w:r>
            <w:r>
              <w:tab/>
            </w:r>
            <w:r>
              <w:fldChar w:fldCharType="begin"/>
            </w:r>
            <w:r>
              <w:instrText>PAGEREF _Toc57561 \h</w:instrText>
            </w:r>
            <w:r>
              <w:fldChar w:fldCharType="separate"/>
            </w:r>
            <w:r>
              <w:t xml:space="preserve">12 </w:t>
            </w:r>
            <w:r>
              <w:fldChar w:fldCharType="end"/>
            </w:r>
          </w:hyperlink>
        </w:p>
        <w:p w14:paraId="014CC7C4" w14:textId="77777777" w:rsidR="008C2A20" w:rsidRDefault="008C2A20">
          <w:pPr>
            <w:pStyle w:val="TOC2"/>
            <w:tabs>
              <w:tab w:val="right" w:leader="dot" w:pos="9470"/>
            </w:tabs>
          </w:pPr>
          <w:hyperlink w:anchor="_Toc57562">
            <w:r>
              <w:t>6.2 Entity Relationship Diagram</w:t>
            </w:r>
            <w:r>
              <w:tab/>
            </w:r>
            <w:r>
              <w:fldChar w:fldCharType="begin"/>
            </w:r>
            <w:r>
              <w:instrText>PAGEREF _Toc57562 \h</w:instrText>
            </w:r>
            <w:r>
              <w:fldChar w:fldCharType="separate"/>
            </w:r>
            <w:r>
              <w:t xml:space="preserve">13 </w:t>
            </w:r>
            <w:r>
              <w:fldChar w:fldCharType="end"/>
            </w:r>
          </w:hyperlink>
        </w:p>
        <w:p w14:paraId="79985AE7" w14:textId="77777777" w:rsidR="008C2A20" w:rsidRDefault="008C2A20">
          <w:pPr>
            <w:pStyle w:val="TOC2"/>
            <w:tabs>
              <w:tab w:val="right" w:leader="dot" w:pos="9470"/>
            </w:tabs>
          </w:pPr>
          <w:hyperlink w:anchor="_Toc57563">
            <w:r>
              <w:t>6.3 Table Descriptions</w:t>
            </w:r>
            <w:r>
              <w:tab/>
            </w:r>
            <w:r>
              <w:fldChar w:fldCharType="begin"/>
            </w:r>
            <w:r>
              <w:instrText>PAGEREF _Toc57563 \h</w:instrText>
            </w:r>
            <w:r>
              <w:fldChar w:fldCharType="separate"/>
            </w:r>
            <w:r>
              <w:t xml:space="preserve">14 </w:t>
            </w:r>
            <w:r>
              <w:fldChar w:fldCharType="end"/>
            </w:r>
          </w:hyperlink>
        </w:p>
        <w:p w14:paraId="64E452AB" w14:textId="77777777" w:rsidR="008C2A20" w:rsidRDefault="008C2A20">
          <w:pPr>
            <w:pStyle w:val="TOC2"/>
            <w:tabs>
              <w:tab w:val="right" w:leader="dot" w:pos="9470"/>
            </w:tabs>
          </w:pPr>
          <w:hyperlink w:anchor="_Toc57564">
            <w:r>
              <w:t>6.4 Benefits of the Star Schema</w:t>
            </w:r>
            <w:r>
              <w:tab/>
            </w:r>
            <w:r>
              <w:fldChar w:fldCharType="begin"/>
            </w:r>
            <w:r>
              <w:instrText>PAGEREF _Toc57564 \h</w:instrText>
            </w:r>
            <w:r>
              <w:fldChar w:fldCharType="separate"/>
            </w:r>
            <w:r>
              <w:t xml:space="preserve">15 </w:t>
            </w:r>
            <w:r>
              <w:fldChar w:fldCharType="end"/>
            </w:r>
          </w:hyperlink>
        </w:p>
        <w:p w14:paraId="26444E27" w14:textId="77777777" w:rsidR="008C2A20" w:rsidRDefault="008C2A20">
          <w:pPr>
            <w:pStyle w:val="TOC1"/>
            <w:tabs>
              <w:tab w:val="right" w:leader="dot" w:pos="9470"/>
            </w:tabs>
          </w:pPr>
          <w:hyperlink w:anchor="_Toc57565">
            <w:r>
              <w:t>Section 7: Power BI Reporting and Insights</w:t>
            </w:r>
            <w:r>
              <w:tab/>
            </w:r>
            <w:r>
              <w:fldChar w:fldCharType="begin"/>
            </w:r>
            <w:r>
              <w:instrText>PAGEREF _Toc57565 \h</w:instrText>
            </w:r>
            <w:r>
              <w:fldChar w:fldCharType="separate"/>
            </w:r>
            <w:r>
              <w:t xml:space="preserve">16 </w:t>
            </w:r>
            <w:r>
              <w:fldChar w:fldCharType="end"/>
            </w:r>
          </w:hyperlink>
        </w:p>
        <w:p w14:paraId="2576F474" w14:textId="77777777" w:rsidR="008C2A20" w:rsidRDefault="008C2A20">
          <w:pPr>
            <w:pStyle w:val="TOC2"/>
            <w:tabs>
              <w:tab w:val="right" w:leader="dot" w:pos="9470"/>
            </w:tabs>
          </w:pPr>
          <w:hyperlink w:anchor="_Toc57566">
            <w:r>
              <w:t>7.1 Monthly Return by Sector (2013–2018)</w:t>
            </w:r>
            <w:r>
              <w:tab/>
            </w:r>
            <w:r>
              <w:fldChar w:fldCharType="begin"/>
            </w:r>
            <w:r>
              <w:instrText>PAGEREF _Toc57566 \h</w:instrText>
            </w:r>
            <w:r>
              <w:fldChar w:fldCharType="separate"/>
            </w:r>
            <w:r>
              <w:t xml:space="preserve">16 </w:t>
            </w:r>
            <w:r>
              <w:fldChar w:fldCharType="end"/>
            </w:r>
          </w:hyperlink>
        </w:p>
        <w:p w14:paraId="5F8CC827" w14:textId="77777777" w:rsidR="008C2A20" w:rsidRDefault="008C2A20">
          <w:pPr>
            <w:pStyle w:val="TOC2"/>
            <w:tabs>
              <w:tab w:val="right" w:leader="dot" w:pos="9470"/>
            </w:tabs>
          </w:pPr>
          <w:hyperlink w:anchor="_Toc57567">
            <w:r>
              <w:t>7.2 Interest Rates vs Avg Monthly Return (2013–2018)</w:t>
            </w:r>
            <w:r>
              <w:tab/>
            </w:r>
            <w:r>
              <w:fldChar w:fldCharType="begin"/>
            </w:r>
            <w:r>
              <w:instrText>PAGEREF _Toc57567 \h</w:instrText>
            </w:r>
            <w:r>
              <w:fldChar w:fldCharType="separate"/>
            </w:r>
            <w:r>
              <w:t xml:space="preserve">17 </w:t>
            </w:r>
            <w:r>
              <w:fldChar w:fldCharType="end"/>
            </w:r>
          </w:hyperlink>
        </w:p>
        <w:p w14:paraId="36E75AFB" w14:textId="77777777" w:rsidR="008C2A20" w:rsidRDefault="008C2A20">
          <w:pPr>
            <w:pStyle w:val="TOC2"/>
            <w:tabs>
              <w:tab w:val="right" w:leader="dot" w:pos="9470"/>
            </w:tabs>
          </w:pPr>
          <w:hyperlink w:anchor="_Toc57568">
            <w:r>
              <w:t>7.3 Top 10 &amp; Bottom 10 Performing Stocks (2013–2018)</w:t>
            </w:r>
            <w:r>
              <w:tab/>
            </w:r>
            <w:r>
              <w:fldChar w:fldCharType="begin"/>
            </w:r>
            <w:r>
              <w:instrText>PAGEREF _Toc57568 \h</w:instrText>
            </w:r>
            <w:r>
              <w:fldChar w:fldCharType="separate"/>
            </w:r>
            <w:r>
              <w:t xml:space="preserve">18 </w:t>
            </w:r>
            <w:r>
              <w:fldChar w:fldCharType="end"/>
            </w:r>
          </w:hyperlink>
        </w:p>
        <w:p w14:paraId="649A2EB7" w14:textId="77777777" w:rsidR="008C2A20" w:rsidRDefault="008C2A20">
          <w:pPr>
            <w:pStyle w:val="TOC2"/>
            <w:tabs>
              <w:tab w:val="right" w:leader="dot" w:pos="9470"/>
            </w:tabs>
          </w:pPr>
          <w:hyperlink w:anchor="_Toc57569">
            <w:r>
              <w:t>7.4 Top Industries by Avg Monthly Return</w:t>
            </w:r>
            <w:r>
              <w:tab/>
            </w:r>
            <w:r>
              <w:fldChar w:fldCharType="begin"/>
            </w:r>
            <w:r>
              <w:instrText>PAGEREF _Toc57569 \h</w:instrText>
            </w:r>
            <w:r>
              <w:fldChar w:fldCharType="separate"/>
            </w:r>
            <w:r>
              <w:t xml:space="preserve">18 </w:t>
            </w:r>
            <w:r>
              <w:fldChar w:fldCharType="end"/>
            </w:r>
          </w:hyperlink>
        </w:p>
        <w:p w14:paraId="09FF1307" w14:textId="77777777" w:rsidR="008C2A20" w:rsidRDefault="008C2A20">
          <w:pPr>
            <w:pStyle w:val="TOC2"/>
            <w:tabs>
              <w:tab w:val="right" w:leader="dot" w:pos="9470"/>
            </w:tabs>
          </w:pPr>
          <w:hyperlink w:anchor="_Toc57570">
            <w:r>
              <w:t>7.5 Sector Trading Volume by Year (2013–2018)</w:t>
            </w:r>
            <w:r>
              <w:tab/>
            </w:r>
            <w:r>
              <w:fldChar w:fldCharType="begin"/>
            </w:r>
            <w:r>
              <w:instrText>PAGEREF _Toc57570 \h</w:instrText>
            </w:r>
            <w:r>
              <w:fldChar w:fldCharType="separate"/>
            </w:r>
            <w:r>
              <w:t xml:space="preserve">19 </w:t>
            </w:r>
            <w:r>
              <w:fldChar w:fldCharType="end"/>
            </w:r>
          </w:hyperlink>
        </w:p>
        <w:p w14:paraId="1989A047" w14:textId="77777777" w:rsidR="008C2A20" w:rsidRDefault="008C2A20">
          <w:pPr>
            <w:pStyle w:val="TOC1"/>
            <w:tabs>
              <w:tab w:val="right" w:leader="dot" w:pos="9470"/>
            </w:tabs>
          </w:pPr>
          <w:hyperlink w:anchor="_Toc57571">
            <w:r>
              <w:t>8. Key Findings and Business Implications</w:t>
            </w:r>
            <w:r>
              <w:tab/>
            </w:r>
            <w:r>
              <w:fldChar w:fldCharType="begin"/>
            </w:r>
            <w:r>
              <w:instrText>PAGEREF _Toc57571 \h</w:instrText>
            </w:r>
            <w:r>
              <w:fldChar w:fldCharType="separate"/>
            </w:r>
            <w:r>
              <w:t xml:space="preserve">20 </w:t>
            </w:r>
            <w:r>
              <w:fldChar w:fldCharType="end"/>
            </w:r>
          </w:hyperlink>
        </w:p>
        <w:p w14:paraId="4FD68820" w14:textId="77777777" w:rsidR="008C2A20" w:rsidRDefault="008C2A20">
          <w:pPr>
            <w:pStyle w:val="TOC1"/>
            <w:tabs>
              <w:tab w:val="right" w:leader="dot" w:pos="9470"/>
            </w:tabs>
          </w:pPr>
          <w:hyperlink w:anchor="_Toc57572">
            <w:r>
              <w:t>9. Evaluation</w:t>
            </w:r>
            <w:r>
              <w:tab/>
            </w:r>
            <w:r>
              <w:fldChar w:fldCharType="begin"/>
            </w:r>
            <w:r>
              <w:instrText>PAGEREF _Toc57572 \h</w:instrText>
            </w:r>
            <w:r>
              <w:fldChar w:fldCharType="separate"/>
            </w:r>
            <w:r>
              <w:t xml:space="preserve">22 </w:t>
            </w:r>
            <w:r>
              <w:fldChar w:fldCharType="end"/>
            </w:r>
          </w:hyperlink>
        </w:p>
        <w:p w14:paraId="743126A3" w14:textId="77777777" w:rsidR="008C2A20" w:rsidRDefault="008C2A20">
          <w:pPr>
            <w:pStyle w:val="TOC1"/>
            <w:tabs>
              <w:tab w:val="right" w:leader="dot" w:pos="9470"/>
            </w:tabs>
          </w:pPr>
          <w:hyperlink w:anchor="_Toc57573">
            <w:r>
              <w:t>10. Conclusion</w:t>
            </w:r>
            <w:r>
              <w:tab/>
            </w:r>
            <w:r>
              <w:fldChar w:fldCharType="begin"/>
            </w:r>
            <w:r>
              <w:instrText>PAGEREF _Toc57573 \h</w:instrText>
            </w:r>
            <w:r>
              <w:fldChar w:fldCharType="separate"/>
            </w:r>
            <w:r>
              <w:t xml:space="preserve">24 </w:t>
            </w:r>
            <w:r>
              <w:fldChar w:fldCharType="end"/>
            </w:r>
          </w:hyperlink>
        </w:p>
        <w:p w14:paraId="1CA43474" w14:textId="77777777" w:rsidR="008C2A20" w:rsidRDefault="008C2A20">
          <w:pPr>
            <w:pStyle w:val="TOC1"/>
            <w:tabs>
              <w:tab w:val="right" w:leader="dot" w:pos="9470"/>
            </w:tabs>
          </w:pPr>
          <w:hyperlink w:anchor="_Toc57574">
            <w:r>
              <w:t>11. References</w:t>
            </w:r>
            <w:r>
              <w:tab/>
            </w:r>
            <w:r>
              <w:fldChar w:fldCharType="begin"/>
            </w:r>
            <w:r>
              <w:instrText>PAGEREF _Toc57574 \h</w:instrText>
            </w:r>
            <w:r>
              <w:fldChar w:fldCharType="separate"/>
            </w:r>
            <w:r>
              <w:t xml:space="preserve">25 </w:t>
            </w:r>
            <w:r>
              <w:fldChar w:fldCharType="end"/>
            </w:r>
          </w:hyperlink>
        </w:p>
        <w:p w14:paraId="627CF5B8" w14:textId="77777777" w:rsidR="008C2A20" w:rsidRDefault="008C2A20">
          <w:pPr>
            <w:pStyle w:val="TOC1"/>
            <w:tabs>
              <w:tab w:val="right" w:leader="dot" w:pos="9470"/>
            </w:tabs>
          </w:pPr>
          <w:hyperlink w:anchor="_Toc57575">
            <w:r>
              <w:t>12. Appendix</w:t>
            </w:r>
            <w:r>
              <w:tab/>
            </w:r>
            <w:r>
              <w:fldChar w:fldCharType="begin"/>
            </w:r>
            <w:r>
              <w:instrText>PAGEREF _Toc57575 \h</w:instrText>
            </w:r>
            <w:r>
              <w:fldChar w:fldCharType="separate"/>
            </w:r>
            <w:r>
              <w:t xml:space="preserve">26 </w:t>
            </w:r>
            <w:r>
              <w:fldChar w:fldCharType="end"/>
            </w:r>
          </w:hyperlink>
        </w:p>
        <w:p w14:paraId="6EEB7ACB" w14:textId="77777777" w:rsidR="008C2A20" w:rsidRDefault="007F547B">
          <w:r>
            <w:fldChar w:fldCharType="end"/>
          </w:r>
        </w:p>
      </w:sdtContent>
    </w:sdt>
    <w:p w14:paraId="5AD2AD9D" w14:textId="77777777" w:rsidR="008C2A20" w:rsidRDefault="007F547B">
      <w:pPr>
        <w:pStyle w:val="Heading1"/>
        <w:ind w:left="-5"/>
      </w:pPr>
      <w:bookmarkStart w:id="0" w:name="_Toc57544"/>
      <w:r>
        <w:lastRenderedPageBreak/>
        <w:t xml:space="preserve">Section 1: Introduction </w:t>
      </w:r>
      <w:bookmarkEnd w:id="0"/>
    </w:p>
    <w:p w14:paraId="5F5B4137" w14:textId="77777777" w:rsidR="008C2A20" w:rsidRDefault="007F547B">
      <w:pPr>
        <w:ind w:right="439"/>
      </w:pPr>
      <w:r>
        <w:t xml:space="preserve">The financial services industry underwent a major transformation because of expanding data availability combined with growing technological reliance </w:t>
      </w:r>
      <w:proofErr w:type="gramStart"/>
      <w:r>
        <w:t>for  insights</w:t>
      </w:r>
      <w:proofErr w:type="gramEnd"/>
      <w:r>
        <w:t xml:space="preserve">. Fidelity Investments along with other investment firms must implement advanced Business Intelligence tools to enable analysts </w:t>
      </w:r>
      <w:proofErr w:type="gramStart"/>
      <w:r>
        <w:t>and  fund</w:t>
      </w:r>
      <w:proofErr w:type="gramEnd"/>
      <w:r>
        <w:t xml:space="preserve"> managers to extract timely actionable market insights from historical and real-time data. </w:t>
      </w:r>
    </w:p>
    <w:p w14:paraId="4AE1CB5F" w14:textId="77777777" w:rsidR="008C2A20" w:rsidRDefault="007F547B">
      <w:pPr>
        <w:ind w:right="439"/>
      </w:pPr>
      <w:r>
        <w:t xml:space="preserve">Fidelity operates in </w:t>
      </w:r>
      <w:proofErr w:type="gramStart"/>
      <w:r>
        <w:t>a  fast</w:t>
      </w:r>
      <w:proofErr w:type="gramEnd"/>
      <w:r>
        <w:t xml:space="preserve">-paced environment where investment decisions are influenced by a complex interplay of factors — including stock </w:t>
      </w:r>
      <w:proofErr w:type="gramStart"/>
      <w:r>
        <w:t>price  movements</w:t>
      </w:r>
      <w:proofErr w:type="gramEnd"/>
      <w:r>
        <w:t xml:space="preserve">, trading volume, and macroeconomic indicators such as interest rates and inflation. The requirement for integrated </w:t>
      </w:r>
      <w:proofErr w:type="gramStart"/>
      <w:r>
        <w:t>dynamic  Business</w:t>
      </w:r>
      <w:proofErr w:type="gramEnd"/>
      <w:r>
        <w:t xml:space="preserve"> Intelligence solutions has become essential because analysts previously depended on spreadsheets and static reports. </w:t>
      </w:r>
    </w:p>
    <w:p w14:paraId="5343E708" w14:textId="77777777" w:rsidR="008C2A20" w:rsidRDefault="007F547B">
      <w:pPr>
        <w:ind w:right="439"/>
      </w:pPr>
      <w:r>
        <w:t xml:space="preserve">This project </w:t>
      </w:r>
      <w:proofErr w:type="gramStart"/>
      <w:r>
        <w:t>develops  a</w:t>
      </w:r>
      <w:proofErr w:type="gramEnd"/>
      <w:r>
        <w:t xml:space="preserve"> contemporary Business Intelligence system to track stock asset performance along with sector trends during the five-year period </w:t>
      </w:r>
      <w:proofErr w:type="gramStart"/>
      <w:r>
        <w:t>from  2013</w:t>
      </w:r>
      <w:proofErr w:type="gramEnd"/>
      <w:r>
        <w:t xml:space="preserve"> through 2018. The system was designed to: </w:t>
      </w:r>
    </w:p>
    <w:p w14:paraId="6F0310D8" w14:textId="77777777" w:rsidR="008C2A20" w:rsidRDefault="007F547B">
      <w:pPr>
        <w:spacing w:after="213"/>
        <w:ind w:left="355" w:right="439"/>
      </w:pPr>
      <w:r>
        <w:rPr>
          <w:rFonts w:ascii="MS PGothic" w:eastAsia="MS PGothic" w:hAnsi="MS PGothic" w:cs="MS PGothic"/>
        </w:rPr>
        <w:t>☑</w:t>
      </w:r>
      <w:r>
        <w:rPr>
          <w:rFonts w:ascii="Arial" w:eastAsia="Arial" w:hAnsi="Arial" w:cs="Arial"/>
        </w:rPr>
        <w:t xml:space="preserve"> </w:t>
      </w:r>
      <w:r>
        <w:t xml:space="preserve">Track stock performance at monthly granularity </w:t>
      </w:r>
    </w:p>
    <w:p w14:paraId="63AA20BC" w14:textId="77777777" w:rsidR="008C2A20" w:rsidRDefault="007F547B">
      <w:pPr>
        <w:spacing w:after="214"/>
        <w:ind w:left="355" w:right="439"/>
      </w:pPr>
      <w:r>
        <w:rPr>
          <w:rFonts w:ascii="MS PGothic" w:eastAsia="MS PGothic" w:hAnsi="MS PGothic" w:cs="MS PGothic"/>
        </w:rPr>
        <w:t>☑</w:t>
      </w:r>
      <w:r>
        <w:rPr>
          <w:rFonts w:ascii="Arial" w:eastAsia="Arial" w:hAnsi="Arial" w:cs="Arial"/>
        </w:rPr>
        <w:t xml:space="preserve"> </w:t>
      </w:r>
      <w:r>
        <w:t xml:space="preserve">Compare sector and industry returns </w:t>
      </w:r>
    </w:p>
    <w:p w14:paraId="10B6A64A" w14:textId="77777777" w:rsidR="008C2A20" w:rsidRDefault="007F547B">
      <w:pPr>
        <w:spacing w:after="213"/>
        <w:ind w:left="355" w:right="439"/>
      </w:pPr>
      <w:r>
        <w:rPr>
          <w:rFonts w:ascii="MS PGothic" w:eastAsia="MS PGothic" w:hAnsi="MS PGothic" w:cs="MS PGothic"/>
        </w:rPr>
        <w:t>☑</w:t>
      </w:r>
      <w:r>
        <w:rPr>
          <w:rFonts w:ascii="Arial" w:eastAsia="Arial" w:hAnsi="Arial" w:cs="Arial"/>
        </w:rPr>
        <w:t xml:space="preserve"> </w:t>
      </w:r>
      <w:r>
        <w:t xml:space="preserve">Highlight top and bottom performing stocks </w:t>
      </w:r>
    </w:p>
    <w:p w14:paraId="4A161E21" w14:textId="77777777" w:rsidR="008C2A20" w:rsidRDefault="007F547B">
      <w:pPr>
        <w:ind w:left="355" w:right="439"/>
      </w:pPr>
      <w:r>
        <w:rPr>
          <w:rFonts w:ascii="MS PGothic" w:eastAsia="MS PGothic" w:hAnsi="MS PGothic" w:cs="MS PGothic"/>
        </w:rPr>
        <w:t>☑</w:t>
      </w:r>
      <w:r>
        <w:rPr>
          <w:rFonts w:ascii="Arial" w:eastAsia="Arial" w:hAnsi="Arial" w:cs="Arial"/>
        </w:rPr>
        <w:t xml:space="preserve"> </w:t>
      </w:r>
      <w:r>
        <w:t xml:space="preserve">Analyse trading volume and liquidity </w:t>
      </w:r>
    </w:p>
    <w:p w14:paraId="4D8EA923" w14:textId="77777777" w:rsidR="008C2A20" w:rsidRDefault="007F547B">
      <w:pPr>
        <w:ind w:left="355" w:right="439"/>
      </w:pPr>
      <w:proofErr w:type="gramStart"/>
      <w:r>
        <w:rPr>
          <w:rFonts w:ascii="MS PGothic" w:eastAsia="MS PGothic" w:hAnsi="MS PGothic" w:cs="MS PGothic"/>
        </w:rPr>
        <w:t>☑</w:t>
      </w:r>
      <w:r>
        <w:rPr>
          <w:rFonts w:ascii="Arial" w:eastAsia="Arial" w:hAnsi="Arial" w:cs="Arial"/>
        </w:rPr>
        <w:t xml:space="preserve"> </w:t>
      </w:r>
      <w:r>
        <w:t xml:space="preserve"> Overlay</w:t>
      </w:r>
      <w:proofErr w:type="gramEnd"/>
      <w:r>
        <w:t xml:space="preserve"> stock performance with macroeconomic indicators </w:t>
      </w:r>
    </w:p>
    <w:p w14:paraId="74FB72B0" w14:textId="77777777" w:rsidR="008C2A20" w:rsidRDefault="007F547B">
      <w:pPr>
        <w:ind w:right="439"/>
      </w:pPr>
      <w:r>
        <w:t xml:space="preserve">The solution development process is fully explained through this report </w:t>
      </w:r>
      <w:proofErr w:type="gramStart"/>
      <w:r>
        <w:t>which  covers</w:t>
      </w:r>
      <w:proofErr w:type="gramEnd"/>
      <w:r>
        <w:t xml:space="preserve"> data acquisition and ETL processing and relational MySQL modelling and Power BI dashboard presentation. The main </w:t>
      </w:r>
      <w:proofErr w:type="gramStart"/>
      <w:r>
        <w:t>objectives  of</w:t>
      </w:r>
      <w:proofErr w:type="gramEnd"/>
      <w:r>
        <w:t xml:space="preserve"> this project consist of two parts. </w:t>
      </w:r>
    </w:p>
    <w:p w14:paraId="6D6BB502" w14:textId="77777777" w:rsidR="008C2A20" w:rsidRDefault="007F547B">
      <w:pPr>
        <w:numPr>
          <w:ilvl w:val="0"/>
          <w:numId w:val="1"/>
        </w:numPr>
        <w:ind w:right="439" w:hanging="360"/>
      </w:pPr>
      <w:r>
        <w:t xml:space="preserve">The project aims to show how contemporary data tools enable the </w:t>
      </w:r>
      <w:proofErr w:type="gramStart"/>
      <w:r>
        <w:t>creation  of</w:t>
      </w:r>
      <w:proofErr w:type="gramEnd"/>
      <w:r>
        <w:t xml:space="preserve"> a dependable business intelligence system which supports data-driven decision-making. </w:t>
      </w:r>
    </w:p>
    <w:p w14:paraId="580BFD4B" w14:textId="77777777" w:rsidR="008C2A20" w:rsidRDefault="007F547B">
      <w:pPr>
        <w:numPr>
          <w:ilvl w:val="0"/>
          <w:numId w:val="1"/>
        </w:numPr>
        <w:ind w:right="439" w:hanging="360"/>
      </w:pPr>
      <w:r>
        <w:t xml:space="preserve">The system provides various user-friendly </w:t>
      </w:r>
      <w:proofErr w:type="gramStart"/>
      <w:r>
        <w:t>interactive  visualizations</w:t>
      </w:r>
      <w:proofErr w:type="gramEnd"/>
      <w:r>
        <w:t xml:space="preserve"> which enable investment analysts to track asset performance while evaluating macroeconomic effects efficiently through </w:t>
      </w:r>
      <w:proofErr w:type="gramStart"/>
      <w:r>
        <w:t>actionable  insights</w:t>
      </w:r>
      <w:proofErr w:type="gramEnd"/>
      <w:r>
        <w:t xml:space="preserve">. </w:t>
      </w:r>
    </w:p>
    <w:p w14:paraId="5F0111EB" w14:textId="77777777" w:rsidR="008C2A20" w:rsidRDefault="007F547B">
      <w:pPr>
        <w:spacing w:after="495" w:line="259" w:lineRule="auto"/>
        <w:ind w:left="720" w:right="0" w:firstLine="0"/>
        <w:jc w:val="left"/>
      </w:pPr>
      <w:r>
        <w:t xml:space="preserve"> </w:t>
      </w:r>
    </w:p>
    <w:p w14:paraId="47193EE2" w14:textId="77777777" w:rsidR="008C2A20" w:rsidRDefault="007F547B">
      <w:pPr>
        <w:pStyle w:val="Heading1"/>
        <w:ind w:left="-5"/>
      </w:pPr>
      <w:bookmarkStart w:id="1" w:name="_Toc57545"/>
      <w:r>
        <w:t xml:space="preserve">Section 2: Data Source Description </w:t>
      </w:r>
      <w:bookmarkEnd w:id="1"/>
    </w:p>
    <w:p w14:paraId="2E8E4E20" w14:textId="77777777" w:rsidR="008C2A20" w:rsidRDefault="007F547B">
      <w:pPr>
        <w:spacing w:after="0" w:line="276" w:lineRule="auto"/>
        <w:ind w:left="0" w:right="454" w:firstLine="0"/>
      </w:pPr>
      <w:r>
        <w:rPr>
          <w:color w:val="131615"/>
          <w:sz w:val="21"/>
        </w:rPr>
        <w:t xml:space="preserve">The project draws its information from three primary datasets which together offer complete historical stock </w:t>
      </w:r>
      <w:proofErr w:type="spellStart"/>
      <w:r>
        <w:rPr>
          <w:color w:val="131615"/>
          <w:sz w:val="21"/>
        </w:rPr>
        <w:t>behavior</w:t>
      </w:r>
      <w:proofErr w:type="spellEnd"/>
      <w:r>
        <w:rPr>
          <w:color w:val="131615"/>
          <w:sz w:val="21"/>
        </w:rPr>
        <w:t xml:space="preserve"> data and company metadata and macroeconomic context. The business intelligence pipeline uses these datasets to calculate financial performance metrics while also supporting sector-based and economic overlays. </w:t>
      </w:r>
    </w:p>
    <w:p w14:paraId="2457FC4A" w14:textId="77777777" w:rsidR="008C2A20" w:rsidRDefault="007F547B">
      <w:pPr>
        <w:pStyle w:val="Heading3"/>
        <w:spacing w:after="0"/>
        <w:ind w:left="-5"/>
      </w:pPr>
      <w:r>
        <w:rPr>
          <w:sz w:val="26"/>
        </w:rPr>
        <w:lastRenderedPageBreak/>
        <w:t xml:space="preserve">2.1 Overview of Datasets Used </w:t>
      </w:r>
    </w:p>
    <w:tbl>
      <w:tblPr>
        <w:tblStyle w:val="TableGrid"/>
        <w:tblW w:w="9663" w:type="dxa"/>
        <w:tblInd w:w="8" w:type="dxa"/>
        <w:tblCellMar>
          <w:top w:w="164" w:type="dxa"/>
          <w:left w:w="116" w:type="dxa"/>
          <w:right w:w="67" w:type="dxa"/>
        </w:tblCellMar>
        <w:tblLook w:val="04A0" w:firstRow="1" w:lastRow="0" w:firstColumn="1" w:lastColumn="0" w:noHBand="0" w:noVBand="1"/>
      </w:tblPr>
      <w:tblGrid>
        <w:gridCol w:w="2643"/>
        <w:gridCol w:w="3180"/>
        <w:gridCol w:w="1180"/>
        <w:gridCol w:w="2660"/>
      </w:tblGrid>
      <w:tr w:rsidR="008C2A20" w14:paraId="5DC2119B" w14:textId="77777777">
        <w:trPr>
          <w:trHeight w:val="525"/>
        </w:trPr>
        <w:tc>
          <w:tcPr>
            <w:tcW w:w="2643"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5E76747A" w14:textId="77777777" w:rsidR="008C2A20" w:rsidRDefault="007F547B">
            <w:pPr>
              <w:spacing w:after="0" w:line="259" w:lineRule="auto"/>
              <w:ind w:left="0" w:right="67" w:firstLine="0"/>
              <w:jc w:val="center"/>
            </w:pPr>
            <w:r>
              <w:rPr>
                <w:b/>
                <w:color w:val="FFFFFF"/>
              </w:rPr>
              <w:t xml:space="preserve">Dataset Name </w:t>
            </w:r>
          </w:p>
        </w:tc>
        <w:tc>
          <w:tcPr>
            <w:tcW w:w="318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015F651C" w14:textId="77777777" w:rsidR="008C2A20" w:rsidRDefault="007F547B">
            <w:pPr>
              <w:spacing w:after="0" w:line="259" w:lineRule="auto"/>
              <w:ind w:left="0" w:right="55" w:firstLine="0"/>
              <w:jc w:val="center"/>
            </w:pPr>
            <w:r>
              <w:rPr>
                <w:b/>
                <w:color w:val="FFFFFF"/>
              </w:rPr>
              <w:t xml:space="preserve">Description </w:t>
            </w:r>
          </w:p>
        </w:tc>
        <w:tc>
          <w:tcPr>
            <w:tcW w:w="118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43B68F28" w14:textId="77777777" w:rsidR="008C2A20" w:rsidRDefault="007F547B">
            <w:pPr>
              <w:spacing w:after="0" w:line="259" w:lineRule="auto"/>
              <w:ind w:left="0" w:right="50" w:firstLine="0"/>
              <w:jc w:val="center"/>
            </w:pPr>
            <w:r>
              <w:rPr>
                <w:b/>
                <w:color w:val="FFFFFF"/>
              </w:rPr>
              <w:t xml:space="preserve">Format </w:t>
            </w:r>
          </w:p>
        </w:tc>
        <w:tc>
          <w:tcPr>
            <w:tcW w:w="266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4D9EBCE9" w14:textId="77777777" w:rsidR="008C2A20" w:rsidRDefault="007F547B">
            <w:pPr>
              <w:spacing w:after="0" w:line="259" w:lineRule="auto"/>
              <w:ind w:left="0" w:right="50" w:firstLine="0"/>
              <w:jc w:val="center"/>
            </w:pPr>
            <w:r>
              <w:rPr>
                <w:b/>
                <w:color w:val="FFFFFF"/>
              </w:rPr>
              <w:t xml:space="preserve">Source </w:t>
            </w:r>
          </w:p>
        </w:tc>
      </w:tr>
      <w:tr w:rsidR="008C2A20" w14:paraId="6DDCED6C" w14:textId="77777777">
        <w:trPr>
          <w:trHeight w:val="1055"/>
        </w:trPr>
        <w:tc>
          <w:tcPr>
            <w:tcW w:w="2643" w:type="dxa"/>
            <w:tcBorders>
              <w:top w:val="single" w:sz="8" w:space="0" w:color="000000"/>
              <w:left w:val="single" w:sz="8" w:space="0" w:color="000000"/>
              <w:bottom w:val="single" w:sz="8" w:space="0" w:color="000000"/>
              <w:right w:val="single" w:sz="8" w:space="0" w:color="000000"/>
            </w:tcBorders>
          </w:tcPr>
          <w:p w14:paraId="792A54C7" w14:textId="77777777" w:rsidR="008C2A20" w:rsidRDefault="007F547B">
            <w:pPr>
              <w:spacing w:after="0" w:line="259" w:lineRule="auto"/>
              <w:ind w:left="0" w:right="67" w:firstLine="0"/>
              <w:jc w:val="center"/>
            </w:pPr>
            <w:r>
              <w:rPr>
                <w:color w:val="188038"/>
              </w:rPr>
              <w:t>all_stocks_5yr.csv</w:t>
            </w:r>
            <w:r>
              <w:t xml:space="preserve"> </w:t>
            </w:r>
          </w:p>
        </w:tc>
        <w:tc>
          <w:tcPr>
            <w:tcW w:w="3180" w:type="dxa"/>
            <w:tcBorders>
              <w:top w:val="single" w:sz="8" w:space="0" w:color="000000"/>
              <w:left w:val="single" w:sz="8" w:space="0" w:color="000000"/>
              <w:bottom w:val="single" w:sz="8" w:space="0" w:color="000000"/>
              <w:right w:val="single" w:sz="8" w:space="0" w:color="000000"/>
            </w:tcBorders>
          </w:tcPr>
          <w:p w14:paraId="68033E97" w14:textId="77777777" w:rsidR="008C2A20" w:rsidRDefault="007F547B">
            <w:pPr>
              <w:spacing w:after="19" w:line="259" w:lineRule="auto"/>
              <w:ind w:left="0" w:right="55" w:firstLine="0"/>
              <w:jc w:val="center"/>
            </w:pPr>
            <w:r>
              <w:t xml:space="preserve">Daily stock price data for over </w:t>
            </w:r>
          </w:p>
          <w:p w14:paraId="5F852110" w14:textId="77777777" w:rsidR="008C2A20" w:rsidRDefault="007F547B">
            <w:pPr>
              <w:spacing w:after="0" w:line="259" w:lineRule="auto"/>
              <w:ind w:left="31" w:right="0" w:firstLine="0"/>
              <w:jc w:val="left"/>
            </w:pPr>
            <w:r>
              <w:t xml:space="preserve">500 companies from 2013–2018 </w:t>
            </w:r>
          </w:p>
        </w:tc>
        <w:tc>
          <w:tcPr>
            <w:tcW w:w="1180" w:type="dxa"/>
            <w:tcBorders>
              <w:top w:val="single" w:sz="8" w:space="0" w:color="000000"/>
              <w:left w:val="single" w:sz="8" w:space="0" w:color="000000"/>
              <w:bottom w:val="single" w:sz="8" w:space="0" w:color="000000"/>
              <w:right w:val="single" w:sz="8" w:space="0" w:color="000000"/>
            </w:tcBorders>
          </w:tcPr>
          <w:p w14:paraId="11524678" w14:textId="77777777" w:rsidR="008C2A20" w:rsidRDefault="007F547B">
            <w:pPr>
              <w:spacing w:after="0" w:line="259" w:lineRule="auto"/>
              <w:ind w:left="0" w:right="50" w:firstLine="0"/>
              <w:jc w:val="center"/>
            </w:pPr>
            <w:r>
              <w:t xml:space="preserve">CSV </w:t>
            </w:r>
          </w:p>
        </w:tc>
        <w:tc>
          <w:tcPr>
            <w:tcW w:w="2660" w:type="dxa"/>
            <w:tcBorders>
              <w:top w:val="single" w:sz="8" w:space="0" w:color="000000"/>
              <w:left w:val="single" w:sz="8" w:space="0" w:color="000000"/>
              <w:bottom w:val="single" w:sz="8" w:space="0" w:color="000000"/>
              <w:right w:val="single" w:sz="8" w:space="0" w:color="000000"/>
            </w:tcBorders>
          </w:tcPr>
          <w:p w14:paraId="1C663367" w14:textId="77777777" w:rsidR="008C2A20" w:rsidRDefault="007F547B">
            <w:pPr>
              <w:spacing w:after="19" w:line="259" w:lineRule="auto"/>
              <w:ind w:left="0" w:right="50" w:firstLine="0"/>
              <w:jc w:val="center"/>
            </w:pPr>
            <w:r>
              <w:t xml:space="preserve">Kaggle: US Price Volume </w:t>
            </w:r>
          </w:p>
          <w:p w14:paraId="17CEA6AD" w14:textId="77777777" w:rsidR="008C2A20" w:rsidRDefault="007F547B">
            <w:pPr>
              <w:spacing w:after="0" w:line="259" w:lineRule="auto"/>
              <w:ind w:left="0" w:right="50" w:firstLine="0"/>
              <w:jc w:val="center"/>
            </w:pPr>
            <w:r>
              <w:t xml:space="preserve">Dataset </w:t>
            </w:r>
          </w:p>
        </w:tc>
      </w:tr>
      <w:tr w:rsidR="008C2A20" w14:paraId="0326C91E" w14:textId="77777777">
        <w:trPr>
          <w:trHeight w:val="1040"/>
        </w:trPr>
        <w:tc>
          <w:tcPr>
            <w:tcW w:w="2643" w:type="dxa"/>
            <w:tcBorders>
              <w:top w:val="single" w:sz="8" w:space="0" w:color="000000"/>
              <w:left w:val="single" w:sz="8" w:space="0" w:color="000000"/>
              <w:bottom w:val="single" w:sz="8" w:space="0" w:color="000000"/>
              <w:right w:val="single" w:sz="8" w:space="0" w:color="000000"/>
            </w:tcBorders>
          </w:tcPr>
          <w:p w14:paraId="4F8D3960" w14:textId="77777777" w:rsidR="008C2A20" w:rsidRDefault="007F547B">
            <w:pPr>
              <w:spacing w:after="0" w:line="259" w:lineRule="auto"/>
              <w:ind w:left="0" w:right="0" w:firstLine="0"/>
              <w:jc w:val="center"/>
            </w:pPr>
            <w:proofErr w:type="spellStart"/>
            <w:r>
              <w:rPr>
                <w:color w:val="188038"/>
              </w:rPr>
              <w:t>cleaned_nasdaq_screener</w:t>
            </w:r>
            <w:proofErr w:type="spellEnd"/>
            <w:r>
              <w:rPr>
                <w:color w:val="188038"/>
              </w:rPr>
              <w:t>. xlsx</w:t>
            </w:r>
            <w:r>
              <w:t xml:space="preserve"> </w:t>
            </w:r>
          </w:p>
        </w:tc>
        <w:tc>
          <w:tcPr>
            <w:tcW w:w="3180" w:type="dxa"/>
            <w:tcBorders>
              <w:top w:val="single" w:sz="8" w:space="0" w:color="000000"/>
              <w:left w:val="single" w:sz="8" w:space="0" w:color="000000"/>
              <w:bottom w:val="single" w:sz="8" w:space="0" w:color="000000"/>
              <w:right w:val="single" w:sz="8" w:space="0" w:color="000000"/>
            </w:tcBorders>
          </w:tcPr>
          <w:p w14:paraId="77DEFC80" w14:textId="77777777" w:rsidR="008C2A20" w:rsidRDefault="007F547B">
            <w:pPr>
              <w:spacing w:after="0" w:line="259" w:lineRule="auto"/>
              <w:ind w:left="0" w:right="0" w:firstLine="0"/>
              <w:jc w:val="center"/>
            </w:pPr>
            <w:r>
              <w:t xml:space="preserve">Company metadata including sector, industry, and IPO year </w:t>
            </w:r>
          </w:p>
        </w:tc>
        <w:tc>
          <w:tcPr>
            <w:tcW w:w="1180" w:type="dxa"/>
            <w:tcBorders>
              <w:top w:val="single" w:sz="8" w:space="0" w:color="000000"/>
              <w:left w:val="single" w:sz="8" w:space="0" w:color="000000"/>
              <w:bottom w:val="single" w:sz="8" w:space="0" w:color="000000"/>
              <w:right w:val="single" w:sz="8" w:space="0" w:color="000000"/>
            </w:tcBorders>
          </w:tcPr>
          <w:p w14:paraId="4089B888" w14:textId="77777777" w:rsidR="008C2A20" w:rsidRDefault="007F547B">
            <w:pPr>
              <w:spacing w:after="0" w:line="259" w:lineRule="auto"/>
              <w:ind w:left="0" w:right="50" w:firstLine="0"/>
              <w:jc w:val="center"/>
            </w:pPr>
            <w:r>
              <w:t xml:space="preserve">Excel </w:t>
            </w:r>
          </w:p>
        </w:tc>
        <w:tc>
          <w:tcPr>
            <w:tcW w:w="2660" w:type="dxa"/>
            <w:tcBorders>
              <w:top w:val="single" w:sz="8" w:space="0" w:color="000000"/>
              <w:left w:val="single" w:sz="8" w:space="0" w:color="000000"/>
              <w:bottom w:val="single" w:sz="8" w:space="0" w:color="000000"/>
              <w:right w:val="single" w:sz="8" w:space="0" w:color="000000"/>
            </w:tcBorders>
          </w:tcPr>
          <w:p w14:paraId="7E7900F6" w14:textId="77777777" w:rsidR="008C2A20" w:rsidRDefault="007F547B">
            <w:pPr>
              <w:spacing w:after="0" w:line="259" w:lineRule="auto"/>
              <w:ind w:left="0" w:right="0" w:firstLine="0"/>
              <w:jc w:val="center"/>
            </w:pPr>
            <w:r>
              <w:t xml:space="preserve">NASDAQ Screener (cleaned and filtered) </w:t>
            </w:r>
          </w:p>
        </w:tc>
      </w:tr>
      <w:tr w:rsidR="008C2A20" w14:paraId="665EB722" w14:textId="77777777">
        <w:trPr>
          <w:trHeight w:val="1060"/>
        </w:trPr>
        <w:tc>
          <w:tcPr>
            <w:tcW w:w="2643" w:type="dxa"/>
            <w:tcBorders>
              <w:top w:val="single" w:sz="8" w:space="0" w:color="000000"/>
              <w:left w:val="single" w:sz="8" w:space="0" w:color="000000"/>
              <w:bottom w:val="single" w:sz="8" w:space="0" w:color="000000"/>
              <w:right w:val="single" w:sz="8" w:space="0" w:color="000000"/>
            </w:tcBorders>
          </w:tcPr>
          <w:p w14:paraId="01FE3F2C" w14:textId="77777777" w:rsidR="008C2A20" w:rsidRDefault="007F547B">
            <w:pPr>
              <w:spacing w:after="0" w:line="259" w:lineRule="auto"/>
              <w:ind w:left="64" w:right="0" w:firstLine="0"/>
              <w:jc w:val="left"/>
            </w:pPr>
            <w:r>
              <w:rPr>
                <w:color w:val="188038"/>
              </w:rPr>
              <w:t>macroeconomic_data.csv</w:t>
            </w:r>
            <w:r>
              <w:t xml:space="preserve"> </w:t>
            </w:r>
          </w:p>
        </w:tc>
        <w:tc>
          <w:tcPr>
            <w:tcW w:w="3180" w:type="dxa"/>
            <w:tcBorders>
              <w:top w:val="single" w:sz="8" w:space="0" w:color="000000"/>
              <w:left w:val="single" w:sz="8" w:space="0" w:color="000000"/>
              <w:bottom w:val="single" w:sz="8" w:space="0" w:color="000000"/>
              <w:right w:val="single" w:sz="8" w:space="0" w:color="000000"/>
            </w:tcBorders>
          </w:tcPr>
          <w:p w14:paraId="11CA221A" w14:textId="77777777" w:rsidR="008C2A20" w:rsidRDefault="007F547B">
            <w:pPr>
              <w:spacing w:after="0" w:line="259" w:lineRule="auto"/>
              <w:ind w:left="0" w:right="0" w:firstLine="0"/>
              <w:jc w:val="center"/>
            </w:pPr>
            <w:r>
              <w:t xml:space="preserve">Monthly interest rate, inflation, and GDP growth data </w:t>
            </w:r>
          </w:p>
        </w:tc>
        <w:tc>
          <w:tcPr>
            <w:tcW w:w="1180" w:type="dxa"/>
            <w:tcBorders>
              <w:top w:val="single" w:sz="8" w:space="0" w:color="000000"/>
              <w:left w:val="single" w:sz="8" w:space="0" w:color="000000"/>
              <w:bottom w:val="single" w:sz="8" w:space="0" w:color="000000"/>
              <w:right w:val="single" w:sz="8" w:space="0" w:color="000000"/>
            </w:tcBorders>
          </w:tcPr>
          <w:p w14:paraId="128B02E1" w14:textId="77777777" w:rsidR="008C2A20" w:rsidRDefault="007F547B">
            <w:pPr>
              <w:spacing w:after="0" w:line="259" w:lineRule="auto"/>
              <w:ind w:left="0" w:right="50" w:firstLine="0"/>
              <w:jc w:val="center"/>
            </w:pPr>
            <w:r>
              <w:t xml:space="preserve">CSV </w:t>
            </w:r>
          </w:p>
        </w:tc>
        <w:tc>
          <w:tcPr>
            <w:tcW w:w="2660" w:type="dxa"/>
            <w:tcBorders>
              <w:top w:val="single" w:sz="8" w:space="0" w:color="000000"/>
              <w:left w:val="single" w:sz="8" w:space="0" w:color="000000"/>
              <w:bottom w:val="single" w:sz="8" w:space="0" w:color="000000"/>
              <w:right w:val="single" w:sz="8" w:space="0" w:color="000000"/>
            </w:tcBorders>
          </w:tcPr>
          <w:p w14:paraId="79FA2FDF" w14:textId="77777777" w:rsidR="008C2A20" w:rsidRDefault="007F547B">
            <w:pPr>
              <w:spacing w:after="19" w:line="259" w:lineRule="auto"/>
              <w:ind w:left="0" w:right="50" w:firstLine="0"/>
              <w:jc w:val="center"/>
            </w:pPr>
            <w:r>
              <w:t xml:space="preserve">Compiled manually from </w:t>
            </w:r>
          </w:p>
          <w:p w14:paraId="0E0B6642" w14:textId="77777777" w:rsidR="008C2A20" w:rsidRDefault="007F547B">
            <w:pPr>
              <w:spacing w:after="0" w:line="259" w:lineRule="auto"/>
              <w:ind w:left="0" w:right="50" w:firstLine="0"/>
              <w:jc w:val="center"/>
            </w:pPr>
            <w:r>
              <w:t xml:space="preserve">FRED and IMF sources </w:t>
            </w:r>
          </w:p>
        </w:tc>
      </w:tr>
    </w:tbl>
    <w:p w14:paraId="5AA4864A" w14:textId="77777777" w:rsidR="008C2A20" w:rsidRDefault="007F547B">
      <w:pPr>
        <w:ind w:right="439"/>
      </w:pPr>
      <w:r>
        <w:t xml:space="preserve">These datasets were pre-processed and structured to support the design of a star schema within MySQL, enabling visualisation and analysis in Power BI. </w:t>
      </w:r>
    </w:p>
    <w:p w14:paraId="74C0B725" w14:textId="77777777" w:rsidR="008C2A20" w:rsidRDefault="007F547B">
      <w:pPr>
        <w:spacing w:after="378" w:line="259" w:lineRule="auto"/>
        <w:ind w:left="0" w:right="0" w:firstLine="0"/>
        <w:jc w:val="left"/>
      </w:pPr>
      <w:r>
        <w:t xml:space="preserve"> </w:t>
      </w:r>
    </w:p>
    <w:p w14:paraId="203F06B9" w14:textId="77777777" w:rsidR="008C2A20" w:rsidRDefault="007F547B">
      <w:pPr>
        <w:pStyle w:val="Heading3"/>
        <w:spacing w:after="223"/>
        <w:ind w:left="-5"/>
      </w:pPr>
      <w:r>
        <w:rPr>
          <w:sz w:val="26"/>
        </w:rPr>
        <w:t xml:space="preserve">2.2 Stock Price Dataset – all_stocks_5yr.csv </w:t>
      </w:r>
    </w:p>
    <w:p w14:paraId="2CF1997C" w14:textId="77777777" w:rsidR="008C2A20" w:rsidRDefault="007F547B">
      <w:pPr>
        <w:ind w:right="439"/>
      </w:pPr>
      <w:proofErr w:type="gramStart"/>
      <w:r>
        <w:t>The  dataset</w:t>
      </w:r>
      <w:proofErr w:type="gramEnd"/>
      <w:r>
        <w:t xml:space="preserve"> includes daily stock information for more than 500 companies listed on US exchanges during the period from </w:t>
      </w:r>
      <w:proofErr w:type="gramStart"/>
      <w:r>
        <w:t>January  2013</w:t>
      </w:r>
      <w:proofErr w:type="gramEnd"/>
      <w:r>
        <w:t xml:space="preserve"> to December 2017. Fields include: </w:t>
      </w:r>
    </w:p>
    <w:p w14:paraId="4B99FF51" w14:textId="77777777" w:rsidR="008C2A20" w:rsidRDefault="007F547B">
      <w:pPr>
        <w:numPr>
          <w:ilvl w:val="0"/>
          <w:numId w:val="2"/>
        </w:numPr>
        <w:spacing w:after="6"/>
        <w:ind w:right="439" w:hanging="360"/>
      </w:pPr>
      <w:r>
        <w:rPr>
          <w:color w:val="188038"/>
        </w:rPr>
        <w:t>Ticker</w:t>
      </w:r>
      <w:r>
        <w:t xml:space="preserve">: company symbol (used for joining) </w:t>
      </w:r>
      <w:r>
        <w:rPr>
          <w:rFonts w:ascii="Arial" w:eastAsia="Arial" w:hAnsi="Arial" w:cs="Arial"/>
        </w:rPr>
        <w:t xml:space="preserve">● </w:t>
      </w:r>
      <w:r>
        <w:rPr>
          <w:color w:val="188038"/>
        </w:rPr>
        <w:t>Date</w:t>
      </w:r>
      <w:r>
        <w:t xml:space="preserve">: trading date </w:t>
      </w:r>
    </w:p>
    <w:p w14:paraId="6DE49506" w14:textId="77777777" w:rsidR="008C2A20" w:rsidRDefault="007F547B">
      <w:pPr>
        <w:numPr>
          <w:ilvl w:val="0"/>
          <w:numId w:val="2"/>
        </w:numPr>
        <w:spacing w:after="9"/>
        <w:ind w:right="439" w:hanging="360"/>
      </w:pPr>
      <w:r>
        <w:rPr>
          <w:color w:val="188038"/>
        </w:rPr>
        <w:t>Open</w:t>
      </w:r>
      <w:r>
        <w:t xml:space="preserve">, </w:t>
      </w:r>
      <w:r>
        <w:rPr>
          <w:color w:val="188038"/>
        </w:rPr>
        <w:t>High</w:t>
      </w:r>
      <w:r>
        <w:t xml:space="preserve">, </w:t>
      </w:r>
      <w:r>
        <w:rPr>
          <w:color w:val="188038"/>
        </w:rPr>
        <w:t>Low</w:t>
      </w:r>
      <w:r>
        <w:t xml:space="preserve">, </w:t>
      </w:r>
      <w:r>
        <w:rPr>
          <w:color w:val="188038"/>
        </w:rPr>
        <w:t>Close</w:t>
      </w:r>
      <w:r>
        <w:t xml:space="preserve">: price information </w:t>
      </w:r>
    </w:p>
    <w:p w14:paraId="7535F5C5" w14:textId="77777777" w:rsidR="008C2A20" w:rsidRDefault="007F547B">
      <w:pPr>
        <w:numPr>
          <w:ilvl w:val="0"/>
          <w:numId w:val="2"/>
        </w:numPr>
        <w:spacing w:after="9"/>
        <w:ind w:right="439" w:hanging="360"/>
      </w:pPr>
      <w:r>
        <w:rPr>
          <w:color w:val="188038"/>
        </w:rPr>
        <w:t>Volume</w:t>
      </w:r>
      <w:r>
        <w:t>: total shares traded on that day</w:t>
      </w:r>
      <w:r>
        <w:rPr>
          <w:rFonts w:ascii="Arial" w:eastAsia="Arial" w:hAnsi="Arial" w:cs="Arial"/>
        </w:rPr>
        <w:t xml:space="preserve"> </w:t>
      </w:r>
    </w:p>
    <w:p w14:paraId="32228AAB" w14:textId="77777777" w:rsidR="008C2A20" w:rsidRDefault="007F547B">
      <w:pPr>
        <w:spacing w:after="259" w:line="259" w:lineRule="auto"/>
        <w:ind w:left="720" w:right="0" w:firstLine="0"/>
        <w:jc w:val="left"/>
      </w:pPr>
      <w:r>
        <w:t xml:space="preserve"> </w:t>
      </w:r>
    </w:p>
    <w:p w14:paraId="722E7E96" w14:textId="77777777" w:rsidR="008C2A20" w:rsidRDefault="007F547B">
      <w:pPr>
        <w:ind w:right="439"/>
      </w:pPr>
      <w:r>
        <w:t xml:space="preserve">This dataset served as the </w:t>
      </w:r>
      <w:proofErr w:type="gramStart"/>
      <w:r>
        <w:t>main  data</w:t>
      </w:r>
      <w:proofErr w:type="gramEnd"/>
      <w:r>
        <w:t xml:space="preserve"> source to generate monthly financial metrics which included average return calculations together with trading volume measurement and </w:t>
      </w:r>
      <w:proofErr w:type="gramStart"/>
      <w:r>
        <w:t>volatility  assessment</w:t>
      </w:r>
      <w:proofErr w:type="gramEnd"/>
      <w:r>
        <w:t xml:space="preserve">. The </w:t>
      </w:r>
      <w:proofErr w:type="spellStart"/>
      <w:r>
        <w:rPr>
          <w:color w:val="188038"/>
        </w:rPr>
        <w:t>FactStockMonthly</w:t>
      </w:r>
      <w:proofErr w:type="spellEnd"/>
      <w:r>
        <w:rPr>
          <w:color w:val="188038"/>
        </w:rPr>
        <w:t xml:space="preserve"> </w:t>
      </w:r>
      <w:r>
        <w:t xml:space="preserve">table emerged from this dataset after performing monthly data aggregation. </w:t>
      </w:r>
    </w:p>
    <w:p w14:paraId="7CBB30BB" w14:textId="77777777" w:rsidR="008C2A20" w:rsidRDefault="007F547B">
      <w:pPr>
        <w:spacing w:after="378" w:line="259" w:lineRule="auto"/>
        <w:ind w:left="0" w:right="0" w:firstLine="0"/>
        <w:jc w:val="left"/>
      </w:pPr>
      <w:r>
        <w:t xml:space="preserve"> </w:t>
      </w:r>
    </w:p>
    <w:p w14:paraId="34497A09" w14:textId="77777777" w:rsidR="008C2A20" w:rsidRDefault="007F547B">
      <w:pPr>
        <w:pStyle w:val="Heading3"/>
        <w:spacing w:after="223"/>
        <w:ind w:left="-5"/>
      </w:pPr>
      <w:r>
        <w:rPr>
          <w:sz w:val="26"/>
        </w:rPr>
        <w:t>2.3 Company Metadata – cleaned_nasdaq_screener.xlsx</w:t>
      </w:r>
      <w:r>
        <w:rPr>
          <w:b w:val="0"/>
          <w:color w:val="000000"/>
          <w:sz w:val="26"/>
        </w:rPr>
        <w:t xml:space="preserve"> </w:t>
      </w:r>
    </w:p>
    <w:p w14:paraId="01DB67BE" w14:textId="77777777" w:rsidR="008C2A20" w:rsidRDefault="007F547B">
      <w:pPr>
        <w:ind w:right="439"/>
      </w:pPr>
      <w:r>
        <w:t xml:space="preserve">The main dataset contains stock information from companies </w:t>
      </w:r>
      <w:proofErr w:type="gramStart"/>
      <w:r>
        <w:t>that  can</w:t>
      </w:r>
      <w:proofErr w:type="gramEnd"/>
      <w:r>
        <w:t xml:space="preserve"> be found in this Excel file. It includes: </w:t>
      </w:r>
    </w:p>
    <w:p w14:paraId="5927878A" w14:textId="77777777" w:rsidR="008C2A20" w:rsidRDefault="007F547B">
      <w:pPr>
        <w:numPr>
          <w:ilvl w:val="0"/>
          <w:numId w:val="3"/>
        </w:numPr>
        <w:spacing w:after="210"/>
        <w:ind w:right="439" w:hanging="360"/>
      </w:pPr>
      <w:r>
        <w:t xml:space="preserve">Ticker symbol (for joins) </w:t>
      </w:r>
    </w:p>
    <w:p w14:paraId="5C8796B8" w14:textId="77777777" w:rsidR="008C2A20" w:rsidRDefault="007F547B">
      <w:pPr>
        <w:numPr>
          <w:ilvl w:val="0"/>
          <w:numId w:val="3"/>
        </w:numPr>
        <w:spacing w:after="210"/>
        <w:ind w:right="439" w:hanging="360"/>
      </w:pPr>
      <w:r>
        <w:t xml:space="preserve">Company name </w:t>
      </w:r>
    </w:p>
    <w:p w14:paraId="58ADFCAA" w14:textId="77777777" w:rsidR="008C2A20" w:rsidRDefault="007F547B">
      <w:pPr>
        <w:numPr>
          <w:ilvl w:val="0"/>
          <w:numId w:val="3"/>
        </w:numPr>
        <w:ind w:right="439" w:hanging="360"/>
      </w:pPr>
      <w:r>
        <w:t xml:space="preserve">Sector and industry classification </w:t>
      </w:r>
    </w:p>
    <w:p w14:paraId="25C2EE36" w14:textId="77777777" w:rsidR="008C2A20" w:rsidRDefault="007F547B">
      <w:pPr>
        <w:numPr>
          <w:ilvl w:val="0"/>
          <w:numId w:val="3"/>
        </w:numPr>
        <w:ind w:right="439" w:hanging="360"/>
      </w:pPr>
      <w:r>
        <w:t xml:space="preserve">Country </w:t>
      </w:r>
    </w:p>
    <w:p w14:paraId="42394909" w14:textId="77777777" w:rsidR="008C2A20" w:rsidRDefault="007F547B">
      <w:pPr>
        <w:numPr>
          <w:ilvl w:val="0"/>
          <w:numId w:val="3"/>
        </w:numPr>
        <w:ind w:right="439" w:hanging="360"/>
      </w:pPr>
      <w:r>
        <w:lastRenderedPageBreak/>
        <w:t xml:space="preserve">IPO year </w:t>
      </w:r>
    </w:p>
    <w:p w14:paraId="2AB3B9AF" w14:textId="77777777" w:rsidR="008C2A20" w:rsidRDefault="007F547B">
      <w:pPr>
        <w:ind w:right="439"/>
      </w:pPr>
      <w:r>
        <w:t xml:space="preserve">The </w:t>
      </w:r>
      <w:proofErr w:type="gramStart"/>
      <w:r>
        <w:t>metadata  was</w:t>
      </w:r>
      <w:proofErr w:type="gramEnd"/>
      <w:r>
        <w:t xml:space="preserve"> cleaned by filling missing IPO years with zeros and replacing unknown countries with a placeholder. The</w:t>
      </w:r>
      <w:r>
        <w:rPr>
          <w:color w:val="188038"/>
        </w:rPr>
        <w:t xml:space="preserve"> </w:t>
      </w:r>
      <w:proofErr w:type="spellStart"/>
      <w:proofErr w:type="gramStart"/>
      <w:r>
        <w:rPr>
          <w:color w:val="188038"/>
        </w:rPr>
        <w:t>DimCompany</w:t>
      </w:r>
      <w:proofErr w:type="spellEnd"/>
      <w:r>
        <w:rPr>
          <w:color w:val="188038"/>
        </w:rPr>
        <w:t xml:space="preserve"> </w:t>
      </w:r>
      <w:r>
        <w:t xml:space="preserve"> dimension</w:t>
      </w:r>
      <w:proofErr w:type="gramEnd"/>
      <w:r>
        <w:t xml:space="preserve"> table was created from this data to support filtering and sector and industry and IPO era comparisons. </w:t>
      </w:r>
    </w:p>
    <w:p w14:paraId="4BE73921" w14:textId="77777777" w:rsidR="008C2A20" w:rsidRDefault="007F547B">
      <w:pPr>
        <w:spacing w:after="397" w:line="259" w:lineRule="auto"/>
        <w:ind w:left="0" w:right="0" w:firstLine="0"/>
        <w:jc w:val="left"/>
      </w:pPr>
      <w:r>
        <w:t xml:space="preserve"> </w:t>
      </w:r>
    </w:p>
    <w:p w14:paraId="00877691" w14:textId="77777777" w:rsidR="008C2A20" w:rsidRDefault="007F547B">
      <w:pPr>
        <w:pStyle w:val="Heading3"/>
        <w:ind w:left="-5"/>
      </w:pPr>
      <w:r>
        <w:t xml:space="preserve">2.4 Macroeconomic Indicators – macroeconomic_data.csv </w:t>
      </w:r>
    </w:p>
    <w:p w14:paraId="67DC4867" w14:textId="77777777" w:rsidR="008C2A20" w:rsidRDefault="007F547B">
      <w:pPr>
        <w:ind w:right="439"/>
      </w:pPr>
      <w:r>
        <w:t xml:space="preserve">The file contains essential economic data </w:t>
      </w:r>
      <w:proofErr w:type="gramStart"/>
      <w:r>
        <w:t>that  supports</w:t>
      </w:r>
      <w:proofErr w:type="gramEnd"/>
      <w:r>
        <w:t xml:space="preserve"> market performance analysis. It includes: </w:t>
      </w:r>
    </w:p>
    <w:p w14:paraId="08D28C50" w14:textId="77777777" w:rsidR="008C2A20" w:rsidRDefault="007F547B">
      <w:pPr>
        <w:numPr>
          <w:ilvl w:val="0"/>
          <w:numId w:val="4"/>
        </w:numPr>
        <w:spacing w:after="209"/>
        <w:ind w:right="439" w:hanging="360"/>
      </w:pPr>
      <w:r>
        <w:t xml:space="preserve">Interest rate (monthly average) </w:t>
      </w:r>
    </w:p>
    <w:p w14:paraId="105D7F6E" w14:textId="77777777" w:rsidR="008C2A20" w:rsidRDefault="007F547B">
      <w:pPr>
        <w:numPr>
          <w:ilvl w:val="0"/>
          <w:numId w:val="4"/>
        </w:numPr>
        <w:ind w:right="439" w:hanging="360"/>
      </w:pPr>
      <w:r>
        <w:t xml:space="preserve">Inflation rate (monthly) </w:t>
      </w:r>
    </w:p>
    <w:p w14:paraId="6DEE526F" w14:textId="77777777" w:rsidR="008C2A20" w:rsidRDefault="007F547B">
      <w:pPr>
        <w:numPr>
          <w:ilvl w:val="0"/>
          <w:numId w:val="4"/>
        </w:numPr>
        <w:spacing w:after="9"/>
        <w:ind w:right="439" w:hanging="360"/>
      </w:pPr>
      <w:r>
        <w:t>GDP growth rate (estimated monthly)</w:t>
      </w:r>
      <w:r>
        <w:rPr>
          <w:rFonts w:ascii="Arial" w:eastAsia="Arial" w:hAnsi="Arial" w:cs="Arial"/>
        </w:rPr>
        <w:t xml:space="preserve"> </w:t>
      </w:r>
    </w:p>
    <w:p w14:paraId="6ADD645B" w14:textId="77777777" w:rsidR="008C2A20" w:rsidRDefault="007F547B">
      <w:pPr>
        <w:spacing w:after="259" w:line="259" w:lineRule="auto"/>
        <w:ind w:left="720" w:right="0" w:firstLine="0"/>
        <w:jc w:val="left"/>
      </w:pPr>
      <w:r>
        <w:t xml:space="preserve"> </w:t>
      </w:r>
    </w:p>
    <w:p w14:paraId="4A5FF6F6" w14:textId="77777777" w:rsidR="008C2A20" w:rsidRDefault="007F547B">
      <w:pPr>
        <w:ind w:right="439"/>
      </w:pPr>
      <w:r>
        <w:t xml:space="preserve">The </w:t>
      </w:r>
      <w:proofErr w:type="spellStart"/>
      <w:r>
        <w:t>DimDate</w:t>
      </w:r>
      <w:proofErr w:type="spellEnd"/>
      <w:r>
        <w:t xml:space="preserve"> table received its date range values after the </w:t>
      </w:r>
      <w:proofErr w:type="gramStart"/>
      <w:r>
        <w:t>date  column</w:t>
      </w:r>
      <w:proofErr w:type="gramEnd"/>
      <w:r>
        <w:t xml:space="preserve"> was added to the original dataset. This allowed for macroeconomic overlays in Power BI and made </w:t>
      </w:r>
      <w:proofErr w:type="gramStart"/>
      <w:r>
        <w:t>it  possible</w:t>
      </w:r>
      <w:proofErr w:type="gramEnd"/>
      <w:r>
        <w:t xml:space="preserve"> to visualise correlations between stock performance and wider economic conditions. </w:t>
      </w:r>
    </w:p>
    <w:p w14:paraId="5E92179A" w14:textId="77777777" w:rsidR="008C2A20" w:rsidRDefault="007F547B">
      <w:pPr>
        <w:spacing w:after="397" w:line="259" w:lineRule="auto"/>
        <w:ind w:left="0" w:right="0" w:firstLine="0"/>
        <w:jc w:val="left"/>
      </w:pPr>
      <w:r>
        <w:t xml:space="preserve"> </w:t>
      </w:r>
    </w:p>
    <w:p w14:paraId="25A05FCA" w14:textId="77777777" w:rsidR="008C2A20" w:rsidRDefault="007F547B">
      <w:pPr>
        <w:pStyle w:val="Heading3"/>
        <w:ind w:left="-5"/>
      </w:pPr>
      <w:r>
        <w:t xml:space="preserve">2.5 Data Preparation Considerations </w:t>
      </w:r>
    </w:p>
    <w:p w14:paraId="148790FE" w14:textId="77777777" w:rsidR="008C2A20" w:rsidRDefault="007F547B">
      <w:pPr>
        <w:numPr>
          <w:ilvl w:val="0"/>
          <w:numId w:val="5"/>
        </w:numPr>
        <w:spacing w:after="205"/>
        <w:ind w:right="439" w:hanging="360"/>
      </w:pPr>
      <w:r>
        <w:t xml:space="preserve">The Python-based Pandas library performed data cleaning on all files before converting them into </w:t>
      </w:r>
      <w:proofErr w:type="gramStart"/>
      <w:r>
        <w:t>regular  monthly</w:t>
      </w:r>
      <w:proofErr w:type="gramEnd"/>
      <w:r>
        <w:t xml:space="preserve">-grained datasets. </w:t>
      </w:r>
    </w:p>
    <w:p w14:paraId="2FD21420" w14:textId="77777777" w:rsidR="008C2A20" w:rsidRDefault="007F547B">
      <w:pPr>
        <w:numPr>
          <w:ilvl w:val="0"/>
          <w:numId w:val="5"/>
        </w:numPr>
        <w:spacing w:after="209"/>
        <w:ind w:right="439" w:hanging="360"/>
      </w:pPr>
      <w:proofErr w:type="spellStart"/>
      <w:r>
        <w:t>DateKey</w:t>
      </w:r>
      <w:proofErr w:type="spellEnd"/>
      <w:r>
        <w:t xml:space="preserve"> and </w:t>
      </w:r>
      <w:proofErr w:type="spellStart"/>
      <w:r>
        <w:t>CompanyKey</w:t>
      </w:r>
      <w:proofErr w:type="spellEnd"/>
      <w:r>
        <w:t xml:space="preserve"> surrogate keys were generated for warehouse usage. </w:t>
      </w:r>
    </w:p>
    <w:p w14:paraId="295ADDC7" w14:textId="77777777" w:rsidR="008C2A20" w:rsidRDefault="007F547B">
      <w:pPr>
        <w:numPr>
          <w:ilvl w:val="0"/>
          <w:numId w:val="5"/>
        </w:numPr>
        <w:ind w:right="439" w:hanging="360"/>
      </w:pPr>
      <w:r>
        <w:t xml:space="preserve">The analysis </w:t>
      </w:r>
      <w:proofErr w:type="gramStart"/>
      <w:r>
        <w:t>excluded  tickers</w:t>
      </w:r>
      <w:proofErr w:type="gramEnd"/>
      <w:r>
        <w:t xml:space="preserve"> which exhibited naming problems or had missing data points. </w:t>
      </w:r>
    </w:p>
    <w:p w14:paraId="1DFAE014" w14:textId="77777777" w:rsidR="008C2A20" w:rsidRDefault="007F547B">
      <w:pPr>
        <w:numPr>
          <w:ilvl w:val="0"/>
          <w:numId w:val="5"/>
        </w:numPr>
        <w:ind w:right="439" w:hanging="360"/>
      </w:pPr>
      <w:r>
        <w:t xml:space="preserve">The analysis only included companies that traded continuously </w:t>
      </w:r>
      <w:proofErr w:type="gramStart"/>
      <w:r>
        <w:t>for  five</w:t>
      </w:r>
      <w:proofErr w:type="gramEnd"/>
      <w:r>
        <w:t xml:space="preserve"> years. </w:t>
      </w:r>
    </w:p>
    <w:p w14:paraId="3C732F5D" w14:textId="77777777" w:rsidR="008C2A20" w:rsidRDefault="007F547B">
      <w:pPr>
        <w:ind w:right="439"/>
      </w:pPr>
      <w:r>
        <w:t xml:space="preserve">The final cleaned tables were exported in.csv format before loading them into MySQL </w:t>
      </w:r>
      <w:proofErr w:type="gramStart"/>
      <w:r>
        <w:t>Workbench  for</w:t>
      </w:r>
      <w:proofErr w:type="gramEnd"/>
      <w:r>
        <w:t xml:space="preserve"> </w:t>
      </w:r>
      <w:proofErr w:type="spellStart"/>
      <w:r>
        <w:t>modeling</w:t>
      </w:r>
      <w:proofErr w:type="spellEnd"/>
      <w:r>
        <w:t xml:space="preserve"> and Power BI reporting. </w:t>
      </w:r>
    </w:p>
    <w:p w14:paraId="29ECE34B" w14:textId="77777777" w:rsidR="008C2A20" w:rsidRDefault="007F547B">
      <w:pPr>
        <w:spacing w:after="259" w:line="259" w:lineRule="auto"/>
        <w:ind w:left="0" w:right="0" w:firstLine="0"/>
        <w:jc w:val="left"/>
      </w:pPr>
      <w:r>
        <w:t xml:space="preserve"> </w:t>
      </w:r>
    </w:p>
    <w:p w14:paraId="7FD88C49" w14:textId="77777777" w:rsidR="008C2A20" w:rsidRDefault="007F547B">
      <w:pPr>
        <w:spacing w:after="495" w:line="259" w:lineRule="auto"/>
        <w:ind w:left="0" w:right="0" w:firstLine="0"/>
        <w:jc w:val="left"/>
      </w:pPr>
      <w:r>
        <w:t xml:space="preserve"> </w:t>
      </w:r>
    </w:p>
    <w:p w14:paraId="318AB6C5" w14:textId="77777777" w:rsidR="008C2A20" w:rsidRDefault="007F547B">
      <w:pPr>
        <w:spacing w:after="0" w:line="259" w:lineRule="auto"/>
        <w:ind w:left="0" w:right="0" w:firstLine="0"/>
        <w:jc w:val="left"/>
      </w:pPr>
      <w:r>
        <w:rPr>
          <w:b/>
          <w:color w:val="365F91"/>
          <w:sz w:val="34"/>
        </w:rPr>
        <w:t xml:space="preserve"> </w:t>
      </w:r>
    </w:p>
    <w:p w14:paraId="31926CEC" w14:textId="77777777" w:rsidR="008C2A20" w:rsidRDefault="007F547B">
      <w:pPr>
        <w:pStyle w:val="Heading1"/>
        <w:spacing w:after="251"/>
        <w:ind w:left="-5"/>
      </w:pPr>
      <w:bookmarkStart w:id="2" w:name="_Toc57546"/>
      <w:r>
        <w:lastRenderedPageBreak/>
        <w:t xml:space="preserve">Section 3: Business Requirements and Scope </w:t>
      </w:r>
      <w:bookmarkEnd w:id="2"/>
    </w:p>
    <w:p w14:paraId="59696CE7" w14:textId="77777777" w:rsidR="008C2A20" w:rsidRDefault="007F547B">
      <w:pPr>
        <w:pStyle w:val="Heading2"/>
        <w:ind w:left="-5"/>
      </w:pPr>
      <w:bookmarkStart w:id="3" w:name="_Toc57547"/>
      <w:r>
        <w:t xml:space="preserve">3.1 Business Context </w:t>
      </w:r>
      <w:bookmarkEnd w:id="3"/>
    </w:p>
    <w:p w14:paraId="3C83CB96" w14:textId="77777777" w:rsidR="008C2A20" w:rsidRDefault="007F547B">
      <w:pPr>
        <w:spacing w:after="239" w:line="277" w:lineRule="auto"/>
        <w:ind w:left="-15" w:right="299" w:firstLine="0"/>
        <w:jc w:val="left"/>
      </w:pPr>
      <w:r>
        <w:t xml:space="preserve">As one of the leading investment management companies worldwide, Fidelity </w:t>
      </w:r>
      <w:proofErr w:type="gramStart"/>
      <w:r>
        <w:t>Investments  oversees</w:t>
      </w:r>
      <w:proofErr w:type="gramEnd"/>
      <w:r>
        <w:t xml:space="preserve"> a broad range of financial assets in global markets. The internal teams of analysts, portfolio managers </w:t>
      </w:r>
      <w:proofErr w:type="gramStart"/>
      <w:r>
        <w:t>and  strategists</w:t>
      </w:r>
      <w:proofErr w:type="gramEnd"/>
      <w:r>
        <w:t xml:space="preserve"> within the organization depend heavily on data to make decisions, evaluate risks, and detect opportunities </w:t>
      </w:r>
      <w:proofErr w:type="gramStart"/>
      <w:r>
        <w:t>for  growth</w:t>
      </w:r>
      <w:proofErr w:type="gramEnd"/>
      <w:r>
        <w:t xml:space="preserve">. </w:t>
      </w:r>
    </w:p>
    <w:p w14:paraId="27260206" w14:textId="77777777" w:rsidR="008C2A20" w:rsidRDefault="007F547B">
      <w:pPr>
        <w:ind w:right="439"/>
      </w:pPr>
      <w:r>
        <w:t xml:space="preserve">The data was often separated from the other </w:t>
      </w:r>
      <w:proofErr w:type="gramStart"/>
      <w:r>
        <w:t>sources</w:t>
      </w:r>
      <w:proofErr w:type="gramEnd"/>
      <w:r>
        <w:t xml:space="preserve"> and the reporting was usually done using Excel </w:t>
      </w:r>
      <w:proofErr w:type="gramStart"/>
      <w:r>
        <w:t>or  manual</w:t>
      </w:r>
      <w:proofErr w:type="gramEnd"/>
      <w:r>
        <w:t xml:space="preserve"> research. Due to the increased complexity in the markets and the need for timely responses to </w:t>
      </w:r>
      <w:proofErr w:type="gramStart"/>
      <w:r>
        <w:t>the  volatility</w:t>
      </w:r>
      <w:proofErr w:type="gramEnd"/>
      <w:r>
        <w:t xml:space="preserve">, Fidelity's analytics team needed a centralized Business Intelligence solution to centralize performance analysis and </w:t>
      </w:r>
      <w:proofErr w:type="gramStart"/>
      <w:r>
        <w:t>include  macroeconomic</w:t>
      </w:r>
      <w:proofErr w:type="gramEnd"/>
      <w:r>
        <w:t xml:space="preserve"> factors. </w:t>
      </w:r>
    </w:p>
    <w:p w14:paraId="7828736C" w14:textId="77777777" w:rsidR="008C2A20" w:rsidRDefault="007F547B">
      <w:pPr>
        <w:spacing w:after="271"/>
        <w:ind w:right="439"/>
      </w:pPr>
      <w:r>
        <w:t xml:space="preserve">The suggested BI system allows Fidelity to: </w:t>
      </w:r>
    </w:p>
    <w:p w14:paraId="42E0EEDE" w14:textId="77777777" w:rsidR="008C2A20" w:rsidRDefault="007F547B">
      <w:pPr>
        <w:numPr>
          <w:ilvl w:val="0"/>
          <w:numId w:val="6"/>
        </w:numPr>
        <w:spacing w:after="214"/>
        <w:ind w:right="439" w:hanging="360"/>
      </w:pPr>
      <w:r>
        <w:t xml:space="preserve">Recognize past trends in stock performance. </w:t>
      </w:r>
    </w:p>
    <w:p w14:paraId="4A38A592" w14:textId="77777777" w:rsidR="008C2A20" w:rsidRDefault="007F547B">
      <w:pPr>
        <w:numPr>
          <w:ilvl w:val="0"/>
          <w:numId w:val="6"/>
        </w:numPr>
        <w:spacing w:after="214"/>
        <w:ind w:right="439" w:hanging="360"/>
      </w:pPr>
      <w:r>
        <w:t xml:space="preserve">To compare the returns in different sectors and industries. </w:t>
      </w:r>
    </w:p>
    <w:p w14:paraId="7A34B398" w14:textId="77777777" w:rsidR="008C2A20" w:rsidRDefault="007F547B">
      <w:pPr>
        <w:numPr>
          <w:ilvl w:val="0"/>
          <w:numId w:val="6"/>
        </w:numPr>
        <w:spacing w:after="213"/>
        <w:ind w:right="439" w:hanging="360"/>
      </w:pPr>
      <w:r>
        <w:t xml:space="preserve">To determine which stocks performed poorly and which </w:t>
      </w:r>
      <w:proofErr w:type="gramStart"/>
      <w:r>
        <w:t>ones  performed</w:t>
      </w:r>
      <w:proofErr w:type="gramEnd"/>
      <w:r>
        <w:t xml:space="preserve"> well. </w:t>
      </w:r>
    </w:p>
    <w:p w14:paraId="52DABB17" w14:textId="77777777" w:rsidR="008C2A20" w:rsidRDefault="007F547B">
      <w:pPr>
        <w:numPr>
          <w:ilvl w:val="0"/>
          <w:numId w:val="6"/>
        </w:numPr>
        <w:ind w:right="439" w:hanging="360"/>
      </w:pPr>
      <w:r>
        <w:t xml:space="preserve">Measure liquidity through trading volume trends. </w:t>
      </w:r>
    </w:p>
    <w:p w14:paraId="2C483859" w14:textId="77777777" w:rsidR="008C2A20" w:rsidRDefault="007F547B">
      <w:pPr>
        <w:numPr>
          <w:ilvl w:val="0"/>
          <w:numId w:val="6"/>
        </w:numPr>
        <w:ind w:right="439" w:hanging="360"/>
      </w:pPr>
      <w:r>
        <w:t xml:space="preserve">Discover the relationship between economic policies (such as </w:t>
      </w:r>
      <w:proofErr w:type="gramStart"/>
      <w:r>
        <w:t>interest  rates</w:t>
      </w:r>
      <w:proofErr w:type="gramEnd"/>
      <w:r>
        <w:t xml:space="preserve">) and equity market performance. </w:t>
      </w:r>
    </w:p>
    <w:p w14:paraId="69A683C0" w14:textId="77777777" w:rsidR="008C2A20" w:rsidRDefault="007F547B">
      <w:pPr>
        <w:ind w:right="439"/>
      </w:pPr>
      <w:r>
        <w:t xml:space="preserve">This system is intended to be expandable, updatable, </w:t>
      </w:r>
      <w:proofErr w:type="gramStart"/>
      <w:r>
        <w:t>and  expandable</w:t>
      </w:r>
      <w:proofErr w:type="gramEnd"/>
      <w:r>
        <w:t xml:space="preserve"> to other markets, periods or classes of assets in the future. </w:t>
      </w:r>
    </w:p>
    <w:p w14:paraId="3419394A" w14:textId="77777777" w:rsidR="008C2A20" w:rsidRDefault="007F547B">
      <w:pPr>
        <w:spacing w:after="317" w:line="259" w:lineRule="auto"/>
        <w:ind w:left="0" w:right="0" w:firstLine="0"/>
        <w:jc w:val="left"/>
      </w:pPr>
      <w:r>
        <w:t xml:space="preserve"> </w:t>
      </w:r>
    </w:p>
    <w:p w14:paraId="46B78BDF" w14:textId="77777777" w:rsidR="008C2A20" w:rsidRDefault="007F547B">
      <w:pPr>
        <w:pStyle w:val="Heading2"/>
        <w:ind w:left="-5"/>
      </w:pPr>
      <w:bookmarkStart w:id="4" w:name="_Toc57548"/>
      <w:r>
        <w:t xml:space="preserve">3.2 Project Objectives </w:t>
      </w:r>
      <w:bookmarkEnd w:id="4"/>
    </w:p>
    <w:p w14:paraId="0A7DC880" w14:textId="77777777" w:rsidR="008C2A20" w:rsidRDefault="007F547B">
      <w:pPr>
        <w:ind w:right="439"/>
      </w:pPr>
      <w:r>
        <w:t xml:space="preserve">The main goals of the project were: </w:t>
      </w:r>
    </w:p>
    <w:p w14:paraId="16818BDA" w14:textId="77777777" w:rsidR="008C2A20" w:rsidRDefault="007F547B">
      <w:pPr>
        <w:numPr>
          <w:ilvl w:val="0"/>
          <w:numId w:val="7"/>
        </w:numPr>
        <w:spacing w:after="205"/>
        <w:ind w:right="439" w:hanging="360"/>
      </w:pPr>
      <w:r>
        <w:t xml:space="preserve">To </w:t>
      </w:r>
      <w:r>
        <w:rPr>
          <w:b/>
        </w:rPr>
        <w:t>create a data warehouse</w:t>
      </w:r>
      <w:r>
        <w:t xml:space="preserve"> that combines stock, </w:t>
      </w:r>
      <w:proofErr w:type="gramStart"/>
      <w:r>
        <w:t>company  and</w:t>
      </w:r>
      <w:proofErr w:type="gramEnd"/>
      <w:r>
        <w:t xml:space="preserve"> economic data using a star schema model. </w:t>
      </w:r>
    </w:p>
    <w:p w14:paraId="02DEEA43" w14:textId="77777777" w:rsidR="008C2A20" w:rsidRDefault="007F547B">
      <w:pPr>
        <w:numPr>
          <w:ilvl w:val="0"/>
          <w:numId w:val="7"/>
        </w:numPr>
        <w:spacing w:after="205"/>
        <w:ind w:right="439" w:hanging="360"/>
      </w:pPr>
      <w:r>
        <w:rPr>
          <w:b/>
        </w:rPr>
        <w:t xml:space="preserve">Create an ETL pipeline </w:t>
      </w:r>
      <w:r>
        <w:t xml:space="preserve">to clean and transform the </w:t>
      </w:r>
      <w:proofErr w:type="gramStart"/>
      <w:r>
        <w:t>source  files</w:t>
      </w:r>
      <w:proofErr w:type="gramEnd"/>
      <w:r>
        <w:t xml:space="preserve"> using Python and load the structured data into MySQL. </w:t>
      </w:r>
    </w:p>
    <w:p w14:paraId="3CCDCB6E" w14:textId="77777777" w:rsidR="008C2A20" w:rsidRDefault="007F547B">
      <w:pPr>
        <w:numPr>
          <w:ilvl w:val="0"/>
          <w:numId w:val="7"/>
        </w:numPr>
        <w:ind w:right="439" w:hanging="360"/>
      </w:pPr>
      <w:r>
        <w:t>Create</w:t>
      </w:r>
      <w:r>
        <w:rPr>
          <w:b/>
        </w:rPr>
        <w:t xml:space="preserve"> Power BI dashboards</w:t>
      </w:r>
      <w:r>
        <w:t xml:space="preserve"> that allow for </w:t>
      </w:r>
      <w:proofErr w:type="gramStart"/>
      <w:r>
        <w:t>filtering  and</w:t>
      </w:r>
      <w:proofErr w:type="gramEnd"/>
      <w:r>
        <w:t xml:space="preserve"> drilling down by ticker, sector, date and macroeconomic indicators. </w:t>
      </w:r>
    </w:p>
    <w:p w14:paraId="3E02128E" w14:textId="77777777" w:rsidR="008C2A20" w:rsidRDefault="007F547B">
      <w:pPr>
        <w:numPr>
          <w:ilvl w:val="0"/>
          <w:numId w:val="7"/>
        </w:numPr>
        <w:ind w:right="439" w:hanging="360"/>
      </w:pPr>
      <w:r>
        <w:t xml:space="preserve">To enable </w:t>
      </w:r>
      <w:r>
        <w:rPr>
          <w:b/>
        </w:rPr>
        <w:t>pattern discovery</w:t>
      </w:r>
      <w:r>
        <w:t xml:space="preserve"> through </w:t>
      </w:r>
      <w:proofErr w:type="gramStart"/>
      <w:r>
        <w:t>the  combination</w:t>
      </w:r>
      <w:proofErr w:type="gramEnd"/>
      <w:r>
        <w:t xml:space="preserve"> of return metrics with economic conditions to produce actionable investment insights. </w:t>
      </w:r>
    </w:p>
    <w:p w14:paraId="708EA906" w14:textId="77777777" w:rsidR="008C2A20" w:rsidRDefault="007F547B">
      <w:pPr>
        <w:pStyle w:val="Heading2"/>
        <w:ind w:left="-5"/>
      </w:pPr>
      <w:bookmarkStart w:id="5" w:name="_Toc57549"/>
      <w:r>
        <w:lastRenderedPageBreak/>
        <w:t xml:space="preserve">3.3 Business Questions to Address </w:t>
      </w:r>
      <w:bookmarkEnd w:id="5"/>
    </w:p>
    <w:p w14:paraId="2BF74A69" w14:textId="77777777" w:rsidR="008C2A20" w:rsidRDefault="007F547B">
      <w:pPr>
        <w:ind w:right="439"/>
      </w:pPr>
      <w:r>
        <w:t xml:space="preserve">This project was framed around five key questions relevant to Fidelity’s equity analysts and investment strategists: </w:t>
      </w:r>
    </w:p>
    <w:p w14:paraId="48EE621B" w14:textId="77777777" w:rsidR="008C2A20" w:rsidRDefault="007F547B">
      <w:pPr>
        <w:spacing w:after="228"/>
        <w:ind w:left="705" w:right="439" w:hanging="360"/>
      </w:pPr>
      <w:r>
        <w:rPr>
          <w:rFonts w:ascii="MS PGothic" w:eastAsia="MS PGothic" w:hAnsi="MS PGothic" w:cs="MS PGothic"/>
        </w:rPr>
        <w:t>➹</w:t>
      </w:r>
      <w:r>
        <w:rPr>
          <w:rFonts w:ascii="Arial" w:eastAsia="Arial" w:hAnsi="Arial" w:cs="Arial"/>
        </w:rPr>
        <w:t xml:space="preserve"> </w:t>
      </w:r>
      <w:r>
        <w:t xml:space="preserve">What were the best and worst performing sectors over the </w:t>
      </w:r>
      <w:proofErr w:type="gramStart"/>
      <w:r>
        <w:t>five year</w:t>
      </w:r>
      <w:proofErr w:type="gramEnd"/>
      <w:r>
        <w:t xml:space="preserve"> period based on average monthly return? </w:t>
      </w:r>
    </w:p>
    <w:p w14:paraId="7C3675FB" w14:textId="77777777" w:rsidR="008C2A20" w:rsidRDefault="007F547B">
      <w:pPr>
        <w:spacing w:after="228"/>
        <w:ind w:left="705" w:right="439" w:hanging="360"/>
      </w:pPr>
      <w:proofErr w:type="gramStart"/>
      <w:r>
        <w:rPr>
          <w:rFonts w:ascii="MS PGothic" w:eastAsia="MS PGothic" w:hAnsi="MS PGothic" w:cs="MS PGothic"/>
        </w:rPr>
        <w:t>➹</w:t>
      </w:r>
      <w:r>
        <w:rPr>
          <w:rFonts w:ascii="Arial" w:eastAsia="Arial" w:hAnsi="Arial" w:cs="Arial"/>
        </w:rPr>
        <w:t xml:space="preserve"> </w:t>
      </w:r>
      <w:r>
        <w:t xml:space="preserve"> Which</w:t>
      </w:r>
      <w:proofErr w:type="gramEnd"/>
      <w:r>
        <w:t xml:space="preserve"> of the stocks were the best and worst performing and to which sector or industry did they belong? </w:t>
      </w:r>
    </w:p>
    <w:p w14:paraId="505905A9" w14:textId="77777777" w:rsidR="008C2A20" w:rsidRDefault="007F547B">
      <w:pPr>
        <w:spacing w:after="228"/>
        <w:ind w:left="705" w:right="439" w:hanging="360"/>
      </w:pPr>
      <w:r>
        <w:rPr>
          <w:rFonts w:ascii="MS PGothic" w:eastAsia="MS PGothic" w:hAnsi="MS PGothic" w:cs="MS PGothic"/>
        </w:rPr>
        <w:t>➹</w:t>
      </w:r>
      <w:r>
        <w:rPr>
          <w:rFonts w:ascii="Arial" w:eastAsia="Arial" w:hAnsi="Arial" w:cs="Arial"/>
        </w:rPr>
        <w:t xml:space="preserve"> </w:t>
      </w:r>
      <w:r>
        <w:t xml:space="preserve">In what manner did changes in macroeconomic indicators like interest rates impact the average market returns for the </w:t>
      </w:r>
      <w:proofErr w:type="gramStart"/>
      <w:r>
        <w:t>same  period</w:t>
      </w:r>
      <w:proofErr w:type="gramEnd"/>
      <w:r>
        <w:t xml:space="preserve">? </w:t>
      </w:r>
    </w:p>
    <w:p w14:paraId="023AF865" w14:textId="77777777" w:rsidR="008C2A20" w:rsidRDefault="007F547B">
      <w:pPr>
        <w:ind w:left="705" w:right="439" w:hanging="360"/>
      </w:pPr>
      <w:r>
        <w:rPr>
          <w:rFonts w:ascii="MS PGothic" w:eastAsia="MS PGothic" w:hAnsi="MS PGothic" w:cs="MS PGothic"/>
        </w:rPr>
        <w:t>➹</w:t>
      </w:r>
      <w:r>
        <w:rPr>
          <w:rFonts w:ascii="Arial" w:eastAsia="Arial" w:hAnsi="Arial" w:cs="Arial"/>
        </w:rPr>
        <w:t xml:space="preserve"> </w:t>
      </w:r>
      <w:r>
        <w:t xml:space="preserve">In which industries did strong returns occur consistently and how do they compare to their broader sector categories? </w:t>
      </w:r>
    </w:p>
    <w:p w14:paraId="2B57DF8F" w14:textId="77777777" w:rsidR="008C2A20" w:rsidRDefault="007F547B">
      <w:pPr>
        <w:ind w:left="705" w:right="439" w:hanging="360"/>
      </w:pPr>
      <w:r>
        <w:rPr>
          <w:rFonts w:ascii="MS PGothic" w:eastAsia="MS PGothic" w:hAnsi="MS PGothic" w:cs="MS PGothic"/>
        </w:rPr>
        <w:t>➹</w:t>
      </w:r>
      <w:r>
        <w:rPr>
          <w:rFonts w:ascii="Arial" w:eastAsia="Arial" w:hAnsi="Arial" w:cs="Arial"/>
        </w:rPr>
        <w:t xml:space="preserve"> </w:t>
      </w:r>
      <w:r>
        <w:t xml:space="preserve">Which sectors were the most liquid and how did the trading volume change from year to year? </w:t>
      </w:r>
    </w:p>
    <w:p w14:paraId="65283283" w14:textId="77777777" w:rsidR="008C2A20" w:rsidRDefault="007F547B">
      <w:pPr>
        <w:ind w:right="439"/>
      </w:pPr>
      <w:proofErr w:type="gramStart"/>
      <w:r>
        <w:t>Each  question</w:t>
      </w:r>
      <w:proofErr w:type="gramEnd"/>
      <w:r>
        <w:t xml:space="preserve"> was answered through a specific Power BI visual that connected to the warehouse through live queries, thus </w:t>
      </w:r>
      <w:proofErr w:type="gramStart"/>
      <w:r>
        <w:t>allowing  for</w:t>
      </w:r>
      <w:proofErr w:type="gramEnd"/>
      <w:r>
        <w:t xml:space="preserve"> dynamic exploration and future refresh capabilities. </w:t>
      </w:r>
    </w:p>
    <w:p w14:paraId="5226B9F5" w14:textId="77777777" w:rsidR="008C2A20" w:rsidRDefault="007F547B">
      <w:pPr>
        <w:spacing w:after="495" w:line="259" w:lineRule="auto"/>
        <w:ind w:left="0" w:right="0" w:firstLine="0"/>
        <w:jc w:val="left"/>
      </w:pPr>
      <w:r>
        <w:t xml:space="preserve"> </w:t>
      </w:r>
    </w:p>
    <w:p w14:paraId="32B8DB33" w14:textId="77777777" w:rsidR="008C2A20" w:rsidRDefault="007F547B">
      <w:pPr>
        <w:pStyle w:val="Heading1"/>
        <w:ind w:left="-5"/>
      </w:pPr>
      <w:bookmarkStart w:id="6" w:name="_Toc57550"/>
      <w:r>
        <w:t xml:space="preserve">Section 4: BI Solution Design and Architecture </w:t>
      </w:r>
      <w:bookmarkEnd w:id="6"/>
    </w:p>
    <w:p w14:paraId="78BDFC48" w14:textId="77777777" w:rsidR="008C2A20" w:rsidRDefault="007F547B">
      <w:pPr>
        <w:ind w:right="439"/>
      </w:pPr>
      <w:r>
        <w:t xml:space="preserve">To deliver a flexible and refreshable Business Intelligence solution for Fidelity Investments, the project was implemented using a standard three-tier architecture: data integration, data storage, and data presentation. This approach ensures scalability, modularity, and the ability to independently update or extend each layer in the future. </w:t>
      </w:r>
    </w:p>
    <w:p w14:paraId="2B843E4F" w14:textId="77777777" w:rsidR="008C2A20" w:rsidRDefault="007F547B">
      <w:pPr>
        <w:spacing w:after="317" w:line="259" w:lineRule="auto"/>
        <w:ind w:left="0" w:right="0" w:firstLine="0"/>
        <w:jc w:val="left"/>
      </w:pPr>
      <w:r>
        <w:t xml:space="preserve"> </w:t>
      </w:r>
    </w:p>
    <w:p w14:paraId="0B5722C3" w14:textId="77777777" w:rsidR="008C2A20" w:rsidRDefault="007F547B">
      <w:pPr>
        <w:pStyle w:val="Heading2"/>
        <w:ind w:left="-5"/>
      </w:pPr>
      <w:bookmarkStart w:id="7" w:name="_Toc57551"/>
      <w:r>
        <w:t xml:space="preserve">4.1 Overview of BI Architecture </w:t>
      </w:r>
      <w:bookmarkEnd w:id="7"/>
    </w:p>
    <w:p w14:paraId="28DD3FF3" w14:textId="77777777" w:rsidR="008C2A20" w:rsidRDefault="007F547B">
      <w:pPr>
        <w:ind w:right="439"/>
      </w:pPr>
      <w:r>
        <w:t xml:space="preserve">The BI solution was built using the following layered approach: </w:t>
      </w:r>
    </w:p>
    <w:p w14:paraId="4AEB0E17" w14:textId="77777777" w:rsidR="008C2A20" w:rsidRDefault="007F547B">
      <w:pPr>
        <w:spacing w:line="268" w:lineRule="auto"/>
        <w:ind w:left="-5" w:right="5693"/>
        <w:jc w:val="left"/>
      </w:pPr>
      <w:r>
        <w:rPr>
          <w:b/>
        </w:rPr>
        <w:t xml:space="preserve">Data Integration (ETL Layer) </w:t>
      </w:r>
    </w:p>
    <w:p w14:paraId="368866C4" w14:textId="77777777" w:rsidR="008C2A20" w:rsidRDefault="007F547B">
      <w:pPr>
        <w:ind w:right="439"/>
      </w:pPr>
      <w:proofErr w:type="gramStart"/>
      <w:r>
        <w:t>The  raw</w:t>
      </w:r>
      <w:proofErr w:type="gramEnd"/>
      <w:r>
        <w:t xml:space="preserve"> source files underwent ingestion, cleaning and transformation through Python. The output from this layer consisted </w:t>
      </w:r>
      <w:proofErr w:type="gramStart"/>
      <w:r>
        <w:t>of  clean</w:t>
      </w:r>
      <w:proofErr w:type="gramEnd"/>
      <w:r>
        <w:t xml:space="preserve">, pre-aggregated.csv files structured at the monthly level. </w:t>
      </w:r>
    </w:p>
    <w:p w14:paraId="29DB41F3" w14:textId="77777777" w:rsidR="008C2A20" w:rsidRDefault="007F547B">
      <w:pPr>
        <w:spacing w:line="268" w:lineRule="auto"/>
        <w:ind w:left="-5" w:right="5693"/>
        <w:jc w:val="left"/>
      </w:pPr>
      <w:r>
        <w:rPr>
          <w:b/>
        </w:rPr>
        <w:t xml:space="preserve">Data Storage (Warehouse Layer) </w:t>
      </w:r>
    </w:p>
    <w:p w14:paraId="5B7DCB76" w14:textId="77777777" w:rsidR="008C2A20" w:rsidRDefault="007F547B">
      <w:pPr>
        <w:ind w:right="439"/>
      </w:pPr>
      <w:proofErr w:type="gramStart"/>
      <w:r>
        <w:t>The  relational</w:t>
      </w:r>
      <w:proofErr w:type="gramEnd"/>
      <w:r>
        <w:t xml:space="preserve"> star schema was implemented through MySQL Workbench. The model contained one fact table alongside two supporting </w:t>
      </w:r>
      <w:proofErr w:type="gramStart"/>
      <w:r>
        <w:t>dimension  tables</w:t>
      </w:r>
      <w:proofErr w:type="gramEnd"/>
      <w:r>
        <w:t xml:space="preserve">. All cleaned datasets received storage within this warehouse which allowed for straightforward reporting queries. </w:t>
      </w:r>
    </w:p>
    <w:p w14:paraId="03F352F3" w14:textId="77777777" w:rsidR="008C2A20" w:rsidRDefault="007F547B">
      <w:pPr>
        <w:spacing w:line="268" w:lineRule="auto"/>
        <w:ind w:left="-5" w:right="5693"/>
        <w:jc w:val="left"/>
      </w:pPr>
      <w:r>
        <w:rPr>
          <w:b/>
        </w:rPr>
        <w:t xml:space="preserve">Data </w:t>
      </w:r>
      <w:proofErr w:type="gramStart"/>
      <w:r>
        <w:rPr>
          <w:b/>
        </w:rPr>
        <w:t>Presentation  (</w:t>
      </w:r>
      <w:proofErr w:type="gramEnd"/>
      <w:r>
        <w:rPr>
          <w:b/>
        </w:rPr>
        <w:t xml:space="preserve">Visualisation Layer) </w:t>
      </w:r>
    </w:p>
    <w:p w14:paraId="28C1E907" w14:textId="77777777" w:rsidR="008C2A20" w:rsidRDefault="007F547B">
      <w:pPr>
        <w:ind w:right="439"/>
      </w:pPr>
      <w:r>
        <w:lastRenderedPageBreak/>
        <w:t xml:space="preserve">Power BI Desktop linked to MySQL through the MySQL Connector. The reports used live </w:t>
      </w:r>
      <w:proofErr w:type="gramStart"/>
      <w:r>
        <w:t>queries  for</w:t>
      </w:r>
      <w:proofErr w:type="gramEnd"/>
      <w:r>
        <w:t xml:space="preserve"> their design and the dashboard included filters for year, sector and ticker symbol. </w:t>
      </w:r>
    </w:p>
    <w:p w14:paraId="32158696" w14:textId="77777777" w:rsidR="008C2A20" w:rsidRDefault="007F547B">
      <w:pPr>
        <w:spacing w:after="317" w:line="259" w:lineRule="auto"/>
        <w:ind w:left="0" w:right="0" w:firstLine="0"/>
        <w:jc w:val="left"/>
      </w:pPr>
      <w:r>
        <w:t xml:space="preserve"> </w:t>
      </w:r>
    </w:p>
    <w:p w14:paraId="7ED9088C" w14:textId="77777777" w:rsidR="008C2A20" w:rsidRDefault="007F547B">
      <w:pPr>
        <w:pStyle w:val="Heading2"/>
        <w:ind w:left="-5"/>
      </w:pPr>
      <w:bookmarkStart w:id="8" w:name="_Toc57552"/>
      <w:r>
        <w:t xml:space="preserve">4.2 BI Architecture Diagram </w:t>
      </w:r>
      <w:bookmarkEnd w:id="8"/>
    </w:p>
    <w:p w14:paraId="6729DDD1" w14:textId="77777777" w:rsidR="008C2A20" w:rsidRDefault="007F547B">
      <w:pPr>
        <w:spacing w:after="0"/>
        <w:ind w:right="439"/>
      </w:pPr>
      <w:r>
        <w:t xml:space="preserve">The following diagram outlines the data flow from raw files to dashboard: </w:t>
      </w:r>
    </w:p>
    <w:p w14:paraId="4C2F779D" w14:textId="77777777" w:rsidR="008C2A20" w:rsidRDefault="007F547B">
      <w:pPr>
        <w:spacing w:after="154" w:line="259" w:lineRule="auto"/>
        <w:ind w:left="-435" w:right="0" w:firstLine="0"/>
        <w:jc w:val="left"/>
      </w:pPr>
      <w:r>
        <w:rPr>
          <w:noProof/>
        </w:rPr>
        <w:drawing>
          <wp:inline distT="0" distB="0" distL="0" distR="0" wp14:anchorId="1026C6E1" wp14:editId="3AA853BF">
            <wp:extent cx="6286500" cy="3533775"/>
            <wp:effectExtent l="0" t="0" r="0" b="0"/>
            <wp:docPr id="3416" name="Picture 3416"/>
            <wp:cNvGraphicFramePr/>
            <a:graphic xmlns:a="http://schemas.openxmlformats.org/drawingml/2006/main">
              <a:graphicData uri="http://schemas.openxmlformats.org/drawingml/2006/picture">
                <pic:pic xmlns:pic="http://schemas.openxmlformats.org/drawingml/2006/picture">
                  <pic:nvPicPr>
                    <pic:cNvPr id="3416" name="Picture 3416"/>
                    <pic:cNvPicPr/>
                  </pic:nvPicPr>
                  <pic:blipFill>
                    <a:blip r:embed="rId7"/>
                    <a:stretch>
                      <a:fillRect/>
                    </a:stretch>
                  </pic:blipFill>
                  <pic:spPr>
                    <a:xfrm>
                      <a:off x="0" y="0"/>
                      <a:ext cx="6286500" cy="3533775"/>
                    </a:xfrm>
                    <a:prstGeom prst="rect">
                      <a:avLst/>
                    </a:prstGeom>
                  </pic:spPr>
                </pic:pic>
              </a:graphicData>
            </a:graphic>
          </wp:inline>
        </w:drawing>
      </w:r>
    </w:p>
    <w:p w14:paraId="540C8FF6" w14:textId="77777777" w:rsidR="008C2A20" w:rsidRDefault="007F547B">
      <w:pPr>
        <w:spacing w:after="256" w:line="259" w:lineRule="auto"/>
        <w:ind w:right="444"/>
        <w:jc w:val="center"/>
      </w:pPr>
      <w:r>
        <w:rPr>
          <w:i/>
        </w:rPr>
        <w:t xml:space="preserve">Figure 1 — ETL and BI System Architecture </w:t>
      </w:r>
    </w:p>
    <w:p w14:paraId="00FBA69D" w14:textId="77777777" w:rsidR="008C2A20" w:rsidRDefault="007F547B">
      <w:pPr>
        <w:spacing w:after="317" w:line="259" w:lineRule="auto"/>
        <w:ind w:left="0" w:right="394" w:firstLine="0"/>
        <w:jc w:val="center"/>
      </w:pPr>
      <w:r>
        <w:rPr>
          <w:i/>
        </w:rPr>
        <w:t xml:space="preserve"> </w:t>
      </w:r>
    </w:p>
    <w:p w14:paraId="51338B22" w14:textId="77777777" w:rsidR="008C2A20" w:rsidRDefault="007F547B">
      <w:pPr>
        <w:pStyle w:val="Heading2"/>
        <w:spacing w:after="0"/>
        <w:ind w:left="-5"/>
      </w:pPr>
      <w:bookmarkStart w:id="9" w:name="_Toc57553"/>
      <w:r>
        <w:t xml:space="preserve">4.3 Components Used in Each Layer </w:t>
      </w:r>
      <w:bookmarkEnd w:id="9"/>
    </w:p>
    <w:tbl>
      <w:tblPr>
        <w:tblStyle w:val="TableGrid"/>
        <w:tblW w:w="9623" w:type="dxa"/>
        <w:tblInd w:w="8" w:type="dxa"/>
        <w:tblCellMar>
          <w:top w:w="162" w:type="dxa"/>
          <w:left w:w="115" w:type="dxa"/>
          <w:right w:w="115" w:type="dxa"/>
        </w:tblCellMar>
        <w:tblLook w:val="04A0" w:firstRow="1" w:lastRow="0" w:firstColumn="1" w:lastColumn="0" w:noHBand="0" w:noVBand="1"/>
      </w:tblPr>
      <w:tblGrid>
        <w:gridCol w:w="2323"/>
        <w:gridCol w:w="2420"/>
        <w:gridCol w:w="4880"/>
      </w:tblGrid>
      <w:tr w:rsidR="008C2A20" w14:paraId="114631D6" w14:textId="77777777">
        <w:trPr>
          <w:trHeight w:val="540"/>
        </w:trPr>
        <w:tc>
          <w:tcPr>
            <w:tcW w:w="2323"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416D76BD" w14:textId="77777777" w:rsidR="008C2A20" w:rsidRDefault="007F547B">
            <w:pPr>
              <w:spacing w:after="0" w:line="259" w:lineRule="auto"/>
              <w:ind w:left="0" w:right="12" w:firstLine="0"/>
              <w:jc w:val="center"/>
            </w:pPr>
            <w:r>
              <w:rPr>
                <w:b/>
                <w:color w:val="FFFFFF"/>
              </w:rPr>
              <w:t xml:space="preserve">Layer </w:t>
            </w:r>
          </w:p>
        </w:tc>
        <w:tc>
          <w:tcPr>
            <w:tcW w:w="242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1F70F85E" w14:textId="77777777" w:rsidR="008C2A20" w:rsidRDefault="007F547B">
            <w:pPr>
              <w:spacing w:after="0" w:line="259" w:lineRule="auto"/>
              <w:ind w:left="0" w:right="15" w:firstLine="0"/>
              <w:jc w:val="center"/>
            </w:pPr>
            <w:r>
              <w:rPr>
                <w:b/>
                <w:color w:val="FFFFFF"/>
              </w:rPr>
              <w:t xml:space="preserve">Tool(s) Used </w:t>
            </w:r>
          </w:p>
        </w:tc>
        <w:tc>
          <w:tcPr>
            <w:tcW w:w="488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4BF50178" w14:textId="77777777" w:rsidR="008C2A20" w:rsidRDefault="007F547B">
            <w:pPr>
              <w:spacing w:after="0" w:line="259" w:lineRule="auto"/>
              <w:ind w:left="0" w:right="10" w:firstLine="0"/>
              <w:jc w:val="center"/>
            </w:pPr>
            <w:r>
              <w:rPr>
                <w:b/>
                <w:color w:val="FFFFFF"/>
              </w:rPr>
              <w:t xml:space="preserve">Role &amp; Purpose </w:t>
            </w:r>
          </w:p>
        </w:tc>
      </w:tr>
      <w:tr w:rsidR="008C2A20" w14:paraId="3147695E" w14:textId="77777777">
        <w:trPr>
          <w:trHeight w:val="998"/>
        </w:trPr>
        <w:tc>
          <w:tcPr>
            <w:tcW w:w="2323" w:type="dxa"/>
            <w:tcBorders>
              <w:top w:val="single" w:sz="8" w:space="0" w:color="000000"/>
              <w:left w:val="single" w:sz="8" w:space="0" w:color="000000"/>
              <w:bottom w:val="single" w:sz="8" w:space="0" w:color="000000"/>
              <w:right w:val="single" w:sz="8" w:space="0" w:color="000000"/>
            </w:tcBorders>
          </w:tcPr>
          <w:p w14:paraId="4CF29F08" w14:textId="77777777" w:rsidR="008C2A20" w:rsidRDefault="007F547B">
            <w:pPr>
              <w:spacing w:after="0" w:line="259" w:lineRule="auto"/>
              <w:ind w:left="0" w:right="12" w:firstLine="0"/>
              <w:jc w:val="center"/>
            </w:pPr>
            <w:r>
              <w:t xml:space="preserve">Data Integration </w:t>
            </w:r>
          </w:p>
        </w:tc>
        <w:tc>
          <w:tcPr>
            <w:tcW w:w="2420" w:type="dxa"/>
            <w:tcBorders>
              <w:top w:val="single" w:sz="8" w:space="0" w:color="000000"/>
              <w:left w:val="single" w:sz="8" w:space="0" w:color="000000"/>
              <w:bottom w:val="single" w:sz="8" w:space="0" w:color="000000"/>
              <w:right w:val="single" w:sz="8" w:space="0" w:color="000000"/>
            </w:tcBorders>
          </w:tcPr>
          <w:p w14:paraId="12CBC9E7" w14:textId="77777777" w:rsidR="008C2A20" w:rsidRDefault="007F547B">
            <w:pPr>
              <w:spacing w:after="0" w:line="259" w:lineRule="auto"/>
              <w:ind w:left="0" w:right="15" w:firstLine="0"/>
              <w:jc w:val="center"/>
            </w:pPr>
            <w:r>
              <w:t xml:space="preserve">Python (Pandas) </w:t>
            </w:r>
          </w:p>
        </w:tc>
        <w:tc>
          <w:tcPr>
            <w:tcW w:w="4880" w:type="dxa"/>
            <w:tcBorders>
              <w:top w:val="single" w:sz="8" w:space="0" w:color="000000"/>
              <w:left w:val="single" w:sz="8" w:space="0" w:color="000000"/>
              <w:bottom w:val="single" w:sz="8" w:space="0" w:color="000000"/>
              <w:right w:val="single" w:sz="8" w:space="0" w:color="000000"/>
            </w:tcBorders>
          </w:tcPr>
          <w:p w14:paraId="2F0D6E26" w14:textId="77777777" w:rsidR="008C2A20" w:rsidRDefault="007F547B">
            <w:pPr>
              <w:spacing w:after="0" w:line="259" w:lineRule="auto"/>
              <w:ind w:left="0" w:right="0" w:firstLine="0"/>
              <w:jc w:val="center"/>
            </w:pPr>
            <w:r>
              <w:t xml:space="preserve">Cleaned daily stock prices, merged macro data, created monthly aggregates </w:t>
            </w:r>
          </w:p>
        </w:tc>
      </w:tr>
      <w:tr w:rsidR="008C2A20" w14:paraId="3C6DF5DA" w14:textId="77777777">
        <w:trPr>
          <w:trHeight w:val="840"/>
        </w:trPr>
        <w:tc>
          <w:tcPr>
            <w:tcW w:w="2323" w:type="dxa"/>
            <w:tcBorders>
              <w:top w:val="single" w:sz="8" w:space="0" w:color="000000"/>
              <w:left w:val="single" w:sz="8" w:space="0" w:color="000000"/>
              <w:bottom w:val="single" w:sz="8" w:space="0" w:color="000000"/>
              <w:right w:val="single" w:sz="8" w:space="0" w:color="000000"/>
            </w:tcBorders>
          </w:tcPr>
          <w:p w14:paraId="1BA21284" w14:textId="77777777" w:rsidR="008C2A20" w:rsidRDefault="007F547B">
            <w:pPr>
              <w:spacing w:after="0" w:line="259" w:lineRule="auto"/>
              <w:ind w:left="0" w:right="12" w:firstLine="0"/>
              <w:jc w:val="center"/>
            </w:pPr>
            <w:r>
              <w:t xml:space="preserve">Data Storage </w:t>
            </w:r>
          </w:p>
        </w:tc>
        <w:tc>
          <w:tcPr>
            <w:tcW w:w="2420" w:type="dxa"/>
            <w:tcBorders>
              <w:top w:val="single" w:sz="8" w:space="0" w:color="000000"/>
              <w:left w:val="single" w:sz="8" w:space="0" w:color="000000"/>
              <w:bottom w:val="single" w:sz="8" w:space="0" w:color="000000"/>
              <w:right w:val="single" w:sz="8" w:space="0" w:color="000000"/>
            </w:tcBorders>
          </w:tcPr>
          <w:p w14:paraId="33AD23DA" w14:textId="77777777" w:rsidR="008C2A20" w:rsidRDefault="007F547B">
            <w:pPr>
              <w:spacing w:after="0" w:line="259" w:lineRule="auto"/>
              <w:ind w:left="0" w:right="15" w:firstLine="0"/>
              <w:jc w:val="center"/>
            </w:pPr>
            <w:r>
              <w:t xml:space="preserve">MySQL Workbench </w:t>
            </w:r>
          </w:p>
        </w:tc>
        <w:tc>
          <w:tcPr>
            <w:tcW w:w="4880" w:type="dxa"/>
            <w:tcBorders>
              <w:top w:val="single" w:sz="8" w:space="0" w:color="000000"/>
              <w:left w:val="single" w:sz="8" w:space="0" w:color="000000"/>
              <w:bottom w:val="single" w:sz="8" w:space="0" w:color="000000"/>
              <w:right w:val="single" w:sz="8" w:space="0" w:color="000000"/>
            </w:tcBorders>
            <w:vAlign w:val="center"/>
          </w:tcPr>
          <w:p w14:paraId="14452A21" w14:textId="77777777" w:rsidR="008C2A20" w:rsidRDefault="007F547B">
            <w:pPr>
              <w:spacing w:after="0" w:line="259" w:lineRule="auto"/>
              <w:ind w:left="0" w:right="0" w:firstLine="0"/>
              <w:jc w:val="center"/>
            </w:pPr>
            <w:r>
              <w:t xml:space="preserve">Star schema design and implementation; enabled querying by date, sector, ticker </w:t>
            </w:r>
          </w:p>
        </w:tc>
      </w:tr>
      <w:tr w:rsidR="008C2A20" w14:paraId="7930AEB2" w14:textId="77777777">
        <w:trPr>
          <w:trHeight w:val="840"/>
        </w:trPr>
        <w:tc>
          <w:tcPr>
            <w:tcW w:w="2323" w:type="dxa"/>
            <w:tcBorders>
              <w:top w:val="single" w:sz="8" w:space="0" w:color="000000"/>
              <w:left w:val="single" w:sz="8" w:space="0" w:color="000000"/>
              <w:bottom w:val="single" w:sz="8" w:space="0" w:color="000000"/>
              <w:right w:val="single" w:sz="8" w:space="0" w:color="000000"/>
            </w:tcBorders>
          </w:tcPr>
          <w:p w14:paraId="617D7912" w14:textId="77777777" w:rsidR="008C2A20" w:rsidRDefault="007F547B">
            <w:pPr>
              <w:spacing w:after="0" w:line="259" w:lineRule="auto"/>
              <w:ind w:left="0" w:right="12" w:firstLine="0"/>
              <w:jc w:val="center"/>
            </w:pPr>
            <w:r>
              <w:t xml:space="preserve">Data Presentation </w:t>
            </w:r>
          </w:p>
        </w:tc>
        <w:tc>
          <w:tcPr>
            <w:tcW w:w="2420" w:type="dxa"/>
            <w:tcBorders>
              <w:top w:val="single" w:sz="8" w:space="0" w:color="000000"/>
              <w:left w:val="single" w:sz="8" w:space="0" w:color="000000"/>
              <w:bottom w:val="single" w:sz="8" w:space="0" w:color="000000"/>
              <w:right w:val="single" w:sz="8" w:space="0" w:color="000000"/>
            </w:tcBorders>
          </w:tcPr>
          <w:p w14:paraId="259A8F51" w14:textId="77777777" w:rsidR="008C2A20" w:rsidRDefault="007F547B">
            <w:pPr>
              <w:spacing w:after="0" w:line="259" w:lineRule="auto"/>
              <w:ind w:left="0" w:right="15" w:firstLine="0"/>
              <w:jc w:val="center"/>
            </w:pPr>
            <w:r>
              <w:t xml:space="preserve">Power BI Desktop </w:t>
            </w:r>
          </w:p>
        </w:tc>
        <w:tc>
          <w:tcPr>
            <w:tcW w:w="4880" w:type="dxa"/>
            <w:tcBorders>
              <w:top w:val="single" w:sz="8" w:space="0" w:color="000000"/>
              <w:left w:val="single" w:sz="8" w:space="0" w:color="000000"/>
              <w:bottom w:val="single" w:sz="8" w:space="0" w:color="000000"/>
              <w:right w:val="single" w:sz="8" w:space="0" w:color="000000"/>
            </w:tcBorders>
            <w:vAlign w:val="center"/>
          </w:tcPr>
          <w:p w14:paraId="3578DFDB" w14:textId="77777777" w:rsidR="008C2A20" w:rsidRDefault="007F547B">
            <w:pPr>
              <w:spacing w:after="0" w:line="259" w:lineRule="auto"/>
              <w:ind w:left="0" w:right="0" w:firstLine="0"/>
              <w:jc w:val="center"/>
            </w:pPr>
            <w:r>
              <w:t xml:space="preserve">Dashboard creation, report interactivity, visual storytelling for stakeholders </w:t>
            </w:r>
          </w:p>
        </w:tc>
      </w:tr>
    </w:tbl>
    <w:p w14:paraId="5BAAD035" w14:textId="77777777" w:rsidR="008C2A20" w:rsidRDefault="007F547B">
      <w:pPr>
        <w:spacing w:after="317" w:line="259" w:lineRule="auto"/>
        <w:ind w:left="0" w:right="0" w:firstLine="0"/>
        <w:jc w:val="left"/>
      </w:pPr>
      <w:r>
        <w:t xml:space="preserve"> </w:t>
      </w:r>
    </w:p>
    <w:p w14:paraId="430270AC" w14:textId="77777777" w:rsidR="008C2A20" w:rsidRDefault="007F547B">
      <w:pPr>
        <w:pStyle w:val="Heading2"/>
        <w:ind w:left="-5"/>
      </w:pPr>
      <w:bookmarkStart w:id="10" w:name="_Toc57554"/>
      <w:r>
        <w:lastRenderedPageBreak/>
        <w:t xml:space="preserve">4.4 System Design Considerations </w:t>
      </w:r>
      <w:bookmarkEnd w:id="10"/>
    </w:p>
    <w:p w14:paraId="4FA95425" w14:textId="77777777" w:rsidR="008C2A20" w:rsidRDefault="007F547B">
      <w:pPr>
        <w:spacing w:after="272"/>
        <w:ind w:right="439"/>
      </w:pPr>
      <w:r>
        <w:t xml:space="preserve">Multiple design choices were implemented to achieve performance and usability: </w:t>
      </w:r>
    </w:p>
    <w:p w14:paraId="2E0DEB3B" w14:textId="77777777" w:rsidR="008C2A20" w:rsidRDefault="007F547B">
      <w:pPr>
        <w:numPr>
          <w:ilvl w:val="0"/>
          <w:numId w:val="8"/>
        </w:numPr>
        <w:spacing w:after="228"/>
        <w:ind w:right="439" w:hanging="360"/>
      </w:pPr>
      <w:r>
        <w:t xml:space="preserve">The choice of monthly grain for fact table data aligned with available macroeconomic indicators and simplified report complexity. </w:t>
      </w:r>
    </w:p>
    <w:p w14:paraId="6705FD77" w14:textId="77777777" w:rsidR="008C2A20" w:rsidRDefault="007F547B">
      <w:pPr>
        <w:numPr>
          <w:ilvl w:val="0"/>
          <w:numId w:val="8"/>
        </w:numPr>
        <w:ind w:right="439" w:hanging="360"/>
      </w:pPr>
      <w:r>
        <w:t>The warehouse joins and Power BI performance improved through the creation of surrogate keys (</w:t>
      </w:r>
      <w:proofErr w:type="spellStart"/>
      <w:r>
        <w:t>DateKey</w:t>
      </w:r>
      <w:proofErr w:type="spellEnd"/>
      <w:r>
        <w:t xml:space="preserve"> and </w:t>
      </w:r>
      <w:proofErr w:type="spellStart"/>
      <w:r>
        <w:t>CompanyKey</w:t>
      </w:r>
      <w:proofErr w:type="spellEnd"/>
      <w:r>
        <w:t xml:space="preserve">). </w:t>
      </w:r>
    </w:p>
    <w:p w14:paraId="6BD99F8F" w14:textId="77777777" w:rsidR="008C2A20" w:rsidRDefault="007F547B">
      <w:pPr>
        <w:numPr>
          <w:ilvl w:val="0"/>
          <w:numId w:val="8"/>
        </w:numPr>
        <w:ind w:right="439" w:hanging="360"/>
      </w:pPr>
      <w:r>
        <w:t xml:space="preserve">The MySQL live connection enables automatic dashboard updates when new data becomes available. </w:t>
      </w:r>
    </w:p>
    <w:p w14:paraId="16CB2F48" w14:textId="77777777" w:rsidR="008C2A20" w:rsidRDefault="007F547B">
      <w:pPr>
        <w:ind w:right="439"/>
      </w:pPr>
      <w:r>
        <w:t xml:space="preserve">The current architecture enables </w:t>
      </w:r>
      <w:proofErr w:type="gramStart"/>
      <w:r>
        <w:t>future  development</w:t>
      </w:r>
      <w:proofErr w:type="gramEnd"/>
      <w:r>
        <w:t xml:space="preserve"> of API-based data ingestion and cloud-based hosting as well as financial data source integration. </w:t>
      </w:r>
    </w:p>
    <w:p w14:paraId="0BE19A3A" w14:textId="77777777" w:rsidR="008C2A20" w:rsidRDefault="007F547B">
      <w:pPr>
        <w:spacing w:after="495" w:line="259" w:lineRule="auto"/>
        <w:ind w:left="0" w:right="0" w:firstLine="0"/>
        <w:jc w:val="left"/>
      </w:pPr>
      <w:r>
        <w:t xml:space="preserve"> </w:t>
      </w:r>
    </w:p>
    <w:p w14:paraId="68E657F8" w14:textId="77777777" w:rsidR="008C2A20" w:rsidRDefault="007F547B">
      <w:pPr>
        <w:pStyle w:val="Heading1"/>
        <w:ind w:left="-5"/>
      </w:pPr>
      <w:bookmarkStart w:id="11" w:name="_Toc57555"/>
      <w:r>
        <w:t xml:space="preserve">Section 5: ETL Process </w:t>
      </w:r>
      <w:bookmarkEnd w:id="11"/>
    </w:p>
    <w:p w14:paraId="67C9A812" w14:textId="77777777" w:rsidR="008C2A20" w:rsidRDefault="007F547B">
      <w:pPr>
        <w:ind w:right="439"/>
      </w:pPr>
      <w:r>
        <w:t xml:space="preserve">The ETL (Extract, Transform, Load) process functions as </w:t>
      </w:r>
      <w:proofErr w:type="gramStart"/>
      <w:r>
        <w:t>the  fundamental</w:t>
      </w:r>
      <w:proofErr w:type="gramEnd"/>
      <w:r>
        <w:t xml:space="preserve"> component of this BI solution. Python executed the ETL process through a structured workflow which transformed </w:t>
      </w:r>
      <w:proofErr w:type="gramStart"/>
      <w:r>
        <w:t>three  different</w:t>
      </w:r>
      <w:proofErr w:type="gramEnd"/>
      <w:r>
        <w:t xml:space="preserve"> datasets into a star schema structure. </w:t>
      </w:r>
    </w:p>
    <w:p w14:paraId="3E41B8B8" w14:textId="77777777" w:rsidR="008C2A20" w:rsidRDefault="007F547B">
      <w:pPr>
        <w:ind w:right="439"/>
      </w:pPr>
      <w:r>
        <w:t xml:space="preserve">This part describes the detailed process of transforming unorganized data </w:t>
      </w:r>
      <w:proofErr w:type="gramStart"/>
      <w:r>
        <w:t>into  organized</w:t>
      </w:r>
      <w:proofErr w:type="gramEnd"/>
      <w:r>
        <w:t xml:space="preserve"> joinable tables for querying and visualization purposes. </w:t>
      </w:r>
    </w:p>
    <w:p w14:paraId="7A58402F" w14:textId="77777777" w:rsidR="008C2A20" w:rsidRDefault="007F547B">
      <w:pPr>
        <w:spacing w:after="317" w:line="259" w:lineRule="auto"/>
        <w:ind w:left="0" w:right="0" w:firstLine="0"/>
        <w:jc w:val="left"/>
      </w:pPr>
      <w:r>
        <w:t xml:space="preserve"> </w:t>
      </w:r>
    </w:p>
    <w:p w14:paraId="26A34702" w14:textId="77777777" w:rsidR="008C2A20" w:rsidRDefault="007F547B">
      <w:pPr>
        <w:pStyle w:val="Heading2"/>
        <w:ind w:left="-5"/>
      </w:pPr>
      <w:bookmarkStart w:id="12" w:name="_Toc57556"/>
      <w:r>
        <w:t xml:space="preserve">5.1 Extract </w:t>
      </w:r>
      <w:bookmarkEnd w:id="12"/>
    </w:p>
    <w:p w14:paraId="60E7DBFC" w14:textId="77777777" w:rsidR="008C2A20" w:rsidRDefault="007F547B">
      <w:pPr>
        <w:spacing w:after="0"/>
        <w:ind w:right="439"/>
      </w:pPr>
      <w:r>
        <w:t xml:space="preserve">Data was extracted from three different formats: </w:t>
      </w:r>
    </w:p>
    <w:tbl>
      <w:tblPr>
        <w:tblStyle w:val="TableGrid"/>
        <w:tblW w:w="8523" w:type="dxa"/>
        <w:tblInd w:w="8" w:type="dxa"/>
        <w:tblCellMar>
          <w:left w:w="115" w:type="dxa"/>
          <w:right w:w="115" w:type="dxa"/>
        </w:tblCellMar>
        <w:tblLook w:val="04A0" w:firstRow="1" w:lastRow="0" w:firstColumn="1" w:lastColumn="0" w:noHBand="0" w:noVBand="1"/>
      </w:tblPr>
      <w:tblGrid>
        <w:gridCol w:w="3543"/>
        <w:gridCol w:w="1260"/>
        <w:gridCol w:w="3720"/>
      </w:tblGrid>
      <w:tr w:rsidR="008C2A20" w14:paraId="2D8F92CF" w14:textId="77777777">
        <w:trPr>
          <w:trHeight w:val="525"/>
        </w:trPr>
        <w:tc>
          <w:tcPr>
            <w:tcW w:w="3543"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39EF3E98" w14:textId="77777777" w:rsidR="008C2A20" w:rsidRDefault="007F547B">
            <w:pPr>
              <w:spacing w:after="0" w:line="259" w:lineRule="auto"/>
              <w:ind w:left="0" w:right="2" w:firstLine="0"/>
              <w:jc w:val="center"/>
            </w:pPr>
            <w:r>
              <w:rPr>
                <w:b/>
                <w:color w:val="FFFFFF"/>
              </w:rPr>
              <w:t xml:space="preserve">Dataset </w:t>
            </w:r>
          </w:p>
        </w:tc>
        <w:tc>
          <w:tcPr>
            <w:tcW w:w="126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2A412436" w14:textId="77777777" w:rsidR="008C2A20" w:rsidRDefault="007F547B">
            <w:pPr>
              <w:spacing w:after="0" w:line="259" w:lineRule="auto"/>
              <w:ind w:right="0" w:firstLine="0"/>
              <w:jc w:val="center"/>
            </w:pPr>
            <w:r>
              <w:rPr>
                <w:b/>
                <w:color w:val="FFFFFF"/>
              </w:rPr>
              <w:t xml:space="preserve">Format </w:t>
            </w:r>
          </w:p>
        </w:tc>
        <w:tc>
          <w:tcPr>
            <w:tcW w:w="372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2017010A" w14:textId="77777777" w:rsidR="008C2A20" w:rsidRDefault="007F547B">
            <w:pPr>
              <w:spacing w:after="0" w:line="259" w:lineRule="auto"/>
              <w:ind w:right="0" w:firstLine="0"/>
              <w:jc w:val="center"/>
            </w:pPr>
            <w:r>
              <w:rPr>
                <w:b/>
                <w:color w:val="FFFFFF"/>
              </w:rPr>
              <w:t xml:space="preserve">Tool Used </w:t>
            </w:r>
          </w:p>
        </w:tc>
      </w:tr>
      <w:tr w:rsidR="008C2A20" w14:paraId="35A562B6" w14:textId="77777777">
        <w:trPr>
          <w:trHeight w:val="536"/>
        </w:trPr>
        <w:tc>
          <w:tcPr>
            <w:tcW w:w="3543" w:type="dxa"/>
            <w:tcBorders>
              <w:top w:val="single" w:sz="8" w:space="0" w:color="000000"/>
              <w:left w:val="single" w:sz="8" w:space="0" w:color="000000"/>
              <w:bottom w:val="single" w:sz="8" w:space="0" w:color="000000"/>
              <w:right w:val="single" w:sz="8" w:space="0" w:color="000000"/>
            </w:tcBorders>
            <w:vAlign w:val="center"/>
          </w:tcPr>
          <w:p w14:paraId="77FFCF2F" w14:textId="77777777" w:rsidR="008C2A20" w:rsidRDefault="007F547B">
            <w:pPr>
              <w:spacing w:after="0" w:line="259" w:lineRule="auto"/>
              <w:ind w:left="0" w:right="2" w:firstLine="0"/>
              <w:jc w:val="center"/>
            </w:pPr>
            <w:r>
              <w:rPr>
                <w:color w:val="188038"/>
              </w:rPr>
              <w:t>all_stocks_5yr.csv</w:t>
            </w:r>
            <w:r>
              <w:t xml:space="preserve"> </w:t>
            </w:r>
          </w:p>
        </w:tc>
        <w:tc>
          <w:tcPr>
            <w:tcW w:w="1260" w:type="dxa"/>
            <w:tcBorders>
              <w:top w:val="single" w:sz="8" w:space="0" w:color="000000"/>
              <w:left w:val="single" w:sz="8" w:space="0" w:color="000000"/>
              <w:bottom w:val="single" w:sz="8" w:space="0" w:color="000000"/>
              <w:right w:val="single" w:sz="8" w:space="0" w:color="000000"/>
            </w:tcBorders>
            <w:vAlign w:val="center"/>
          </w:tcPr>
          <w:p w14:paraId="2BBC42EC" w14:textId="77777777" w:rsidR="008C2A20" w:rsidRDefault="007F547B">
            <w:pPr>
              <w:spacing w:after="0" w:line="259" w:lineRule="auto"/>
              <w:ind w:right="0" w:firstLine="0"/>
              <w:jc w:val="center"/>
            </w:pPr>
            <w:r>
              <w:t xml:space="preserve">CSV </w:t>
            </w:r>
          </w:p>
        </w:tc>
        <w:tc>
          <w:tcPr>
            <w:tcW w:w="3720" w:type="dxa"/>
            <w:tcBorders>
              <w:top w:val="single" w:sz="8" w:space="0" w:color="000000"/>
              <w:left w:val="single" w:sz="8" w:space="0" w:color="000000"/>
              <w:bottom w:val="single" w:sz="8" w:space="0" w:color="000000"/>
              <w:right w:val="single" w:sz="8" w:space="0" w:color="000000"/>
            </w:tcBorders>
            <w:vAlign w:val="center"/>
          </w:tcPr>
          <w:p w14:paraId="70603385" w14:textId="77777777" w:rsidR="008C2A20" w:rsidRDefault="007F547B">
            <w:pPr>
              <w:spacing w:after="0" w:line="259" w:lineRule="auto"/>
              <w:ind w:right="0" w:firstLine="0"/>
              <w:jc w:val="center"/>
            </w:pPr>
            <w:r>
              <w:t xml:space="preserve">Python (Pandas) </w:t>
            </w:r>
          </w:p>
        </w:tc>
      </w:tr>
      <w:tr w:rsidR="008C2A20" w14:paraId="6A1E99A9" w14:textId="77777777">
        <w:trPr>
          <w:trHeight w:val="540"/>
        </w:trPr>
        <w:tc>
          <w:tcPr>
            <w:tcW w:w="3543" w:type="dxa"/>
            <w:tcBorders>
              <w:top w:val="single" w:sz="8" w:space="0" w:color="000000"/>
              <w:left w:val="single" w:sz="8" w:space="0" w:color="000000"/>
              <w:bottom w:val="single" w:sz="8" w:space="0" w:color="000000"/>
              <w:right w:val="single" w:sz="8" w:space="0" w:color="000000"/>
            </w:tcBorders>
            <w:vAlign w:val="center"/>
          </w:tcPr>
          <w:p w14:paraId="24C8C173" w14:textId="77777777" w:rsidR="008C2A20" w:rsidRDefault="007F547B">
            <w:pPr>
              <w:spacing w:after="0" w:line="259" w:lineRule="auto"/>
              <w:ind w:left="0" w:right="2" w:firstLine="0"/>
              <w:jc w:val="center"/>
            </w:pPr>
            <w:r>
              <w:rPr>
                <w:color w:val="188038"/>
              </w:rPr>
              <w:t>cleaned_nasdaq_screener.xlsx</w:t>
            </w:r>
            <w:r>
              <w:t xml:space="preserve"> </w:t>
            </w:r>
          </w:p>
        </w:tc>
        <w:tc>
          <w:tcPr>
            <w:tcW w:w="1260" w:type="dxa"/>
            <w:tcBorders>
              <w:top w:val="single" w:sz="8" w:space="0" w:color="000000"/>
              <w:left w:val="single" w:sz="8" w:space="0" w:color="000000"/>
              <w:bottom w:val="single" w:sz="8" w:space="0" w:color="000000"/>
              <w:right w:val="single" w:sz="8" w:space="0" w:color="000000"/>
            </w:tcBorders>
            <w:vAlign w:val="center"/>
          </w:tcPr>
          <w:p w14:paraId="44B230BE" w14:textId="77777777" w:rsidR="008C2A20" w:rsidRDefault="007F547B">
            <w:pPr>
              <w:spacing w:after="0" w:line="259" w:lineRule="auto"/>
              <w:ind w:right="0" w:firstLine="0"/>
              <w:jc w:val="center"/>
            </w:pPr>
            <w:r>
              <w:t xml:space="preserve">Excel </w:t>
            </w:r>
          </w:p>
        </w:tc>
        <w:tc>
          <w:tcPr>
            <w:tcW w:w="3720" w:type="dxa"/>
            <w:tcBorders>
              <w:top w:val="single" w:sz="8" w:space="0" w:color="000000"/>
              <w:left w:val="single" w:sz="8" w:space="0" w:color="000000"/>
              <w:bottom w:val="single" w:sz="8" w:space="0" w:color="000000"/>
              <w:right w:val="single" w:sz="8" w:space="0" w:color="000000"/>
            </w:tcBorders>
            <w:vAlign w:val="center"/>
          </w:tcPr>
          <w:p w14:paraId="0304CC4F" w14:textId="77777777" w:rsidR="008C2A20" w:rsidRDefault="007F547B">
            <w:pPr>
              <w:spacing w:after="0" w:line="259" w:lineRule="auto"/>
              <w:ind w:right="0" w:firstLine="0"/>
              <w:jc w:val="center"/>
            </w:pPr>
            <w:r>
              <w:t xml:space="preserve">Python (Pandas) </w:t>
            </w:r>
          </w:p>
        </w:tc>
      </w:tr>
      <w:tr w:rsidR="008C2A20" w14:paraId="17DA9240" w14:textId="77777777">
        <w:trPr>
          <w:trHeight w:val="520"/>
        </w:trPr>
        <w:tc>
          <w:tcPr>
            <w:tcW w:w="3543" w:type="dxa"/>
            <w:tcBorders>
              <w:top w:val="single" w:sz="8" w:space="0" w:color="000000"/>
              <w:left w:val="single" w:sz="8" w:space="0" w:color="000000"/>
              <w:bottom w:val="single" w:sz="8" w:space="0" w:color="000000"/>
              <w:right w:val="single" w:sz="8" w:space="0" w:color="000000"/>
            </w:tcBorders>
            <w:vAlign w:val="center"/>
          </w:tcPr>
          <w:p w14:paraId="32F9D39F" w14:textId="77777777" w:rsidR="008C2A20" w:rsidRDefault="007F547B">
            <w:pPr>
              <w:spacing w:after="0" w:line="259" w:lineRule="auto"/>
              <w:ind w:left="0" w:right="2" w:firstLine="0"/>
              <w:jc w:val="center"/>
            </w:pPr>
            <w:r>
              <w:rPr>
                <w:color w:val="188038"/>
              </w:rPr>
              <w:t>macroeconomic_data.csv</w:t>
            </w:r>
            <w:r>
              <w:t xml:space="preserve"> </w:t>
            </w:r>
          </w:p>
        </w:tc>
        <w:tc>
          <w:tcPr>
            <w:tcW w:w="1260" w:type="dxa"/>
            <w:tcBorders>
              <w:top w:val="single" w:sz="8" w:space="0" w:color="000000"/>
              <w:left w:val="single" w:sz="8" w:space="0" w:color="000000"/>
              <w:bottom w:val="single" w:sz="8" w:space="0" w:color="000000"/>
              <w:right w:val="single" w:sz="8" w:space="0" w:color="000000"/>
            </w:tcBorders>
            <w:vAlign w:val="center"/>
          </w:tcPr>
          <w:p w14:paraId="35384278" w14:textId="77777777" w:rsidR="008C2A20" w:rsidRDefault="007F547B">
            <w:pPr>
              <w:spacing w:after="0" w:line="259" w:lineRule="auto"/>
              <w:ind w:right="0" w:firstLine="0"/>
              <w:jc w:val="center"/>
            </w:pPr>
            <w:r>
              <w:t xml:space="preserve">CSV </w:t>
            </w:r>
          </w:p>
        </w:tc>
        <w:tc>
          <w:tcPr>
            <w:tcW w:w="3720" w:type="dxa"/>
            <w:tcBorders>
              <w:top w:val="single" w:sz="8" w:space="0" w:color="000000"/>
              <w:left w:val="single" w:sz="8" w:space="0" w:color="000000"/>
              <w:bottom w:val="single" w:sz="8" w:space="0" w:color="000000"/>
              <w:right w:val="single" w:sz="8" w:space="0" w:color="000000"/>
            </w:tcBorders>
            <w:vAlign w:val="center"/>
          </w:tcPr>
          <w:p w14:paraId="4A5AC8EA" w14:textId="77777777" w:rsidR="008C2A20" w:rsidRDefault="007F547B">
            <w:pPr>
              <w:spacing w:after="0" w:line="259" w:lineRule="auto"/>
              <w:ind w:right="0" w:firstLine="0"/>
              <w:jc w:val="center"/>
            </w:pPr>
            <w:r>
              <w:t xml:space="preserve">Python (Pandas) </w:t>
            </w:r>
          </w:p>
        </w:tc>
      </w:tr>
    </w:tbl>
    <w:p w14:paraId="3729618A" w14:textId="77777777" w:rsidR="008C2A20" w:rsidRDefault="007F547B">
      <w:pPr>
        <w:ind w:right="439"/>
      </w:pPr>
      <w:r>
        <w:t xml:space="preserve">All datasets were loaded using </w:t>
      </w:r>
      <w:proofErr w:type="spellStart"/>
      <w:proofErr w:type="gramStart"/>
      <w:r>
        <w:rPr>
          <w:color w:val="188038"/>
        </w:rPr>
        <w:t>pandas.read</w:t>
      </w:r>
      <w:proofErr w:type="gramEnd"/>
      <w:r>
        <w:rPr>
          <w:color w:val="188038"/>
        </w:rPr>
        <w:t>_</w:t>
      </w:r>
      <w:proofErr w:type="gramStart"/>
      <w:r>
        <w:rPr>
          <w:color w:val="188038"/>
        </w:rPr>
        <w:t>csv</w:t>
      </w:r>
      <w:proofErr w:type="spellEnd"/>
      <w:r>
        <w:rPr>
          <w:color w:val="188038"/>
        </w:rPr>
        <w:t>(</w:t>
      </w:r>
      <w:proofErr w:type="gramEnd"/>
      <w:r>
        <w:rPr>
          <w:color w:val="188038"/>
        </w:rPr>
        <w:t>)</w:t>
      </w:r>
      <w:r>
        <w:t xml:space="preserve"> or </w:t>
      </w:r>
      <w:proofErr w:type="spellStart"/>
      <w:proofErr w:type="gramStart"/>
      <w:r>
        <w:rPr>
          <w:color w:val="188038"/>
        </w:rPr>
        <w:t>pandas.read</w:t>
      </w:r>
      <w:proofErr w:type="gramEnd"/>
      <w:r>
        <w:rPr>
          <w:color w:val="188038"/>
        </w:rPr>
        <w:t>_</w:t>
      </w:r>
      <w:proofErr w:type="gramStart"/>
      <w:r>
        <w:rPr>
          <w:color w:val="188038"/>
        </w:rPr>
        <w:t>excel</w:t>
      </w:r>
      <w:proofErr w:type="spellEnd"/>
      <w:r>
        <w:rPr>
          <w:color w:val="188038"/>
        </w:rPr>
        <w:t>(</w:t>
      </w:r>
      <w:proofErr w:type="gramEnd"/>
      <w:r>
        <w:rPr>
          <w:color w:val="188038"/>
        </w:rPr>
        <w:t>)</w:t>
      </w:r>
      <w:r>
        <w:t xml:space="preserve"> and initially inspected for missing values, data types, and structural consistency. </w:t>
      </w:r>
    </w:p>
    <w:p w14:paraId="498FBF21" w14:textId="77777777" w:rsidR="008C2A20" w:rsidRDefault="007F547B">
      <w:pPr>
        <w:spacing w:after="0" w:line="259" w:lineRule="auto"/>
        <w:ind w:left="0" w:right="0" w:firstLine="0"/>
        <w:jc w:val="left"/>
      </w:pPr>
      <w:r>
        <w:t xml:space="preserve"> </w:t>
      </w:r>
    </w:p>
    <w:p w14:paraId="2AA42038" w14:textId="77777777" w:rsidR="008C2A20" w:rsidRDefault="007F547B">
      <w:pPr>
        <w:pStyle w:val="Heading2"/>
        <w:ind w:left="-5"/>
      </w:pPr>
      <w:bookmarkStart w:id="13" w:name="_Toc57557"/>
      <w:r>
        <w:t xml:space="preserve">5.2 Transform </w:t>
      </w:r>
      <w:bookmarkEnd w:id="13"/>
    </w:p>
    <w:p w14:paraId="7574C5E7" w14:textId="77777777" w:rsidR="008C2A20" w:rsidRDefault="007F547B">
      <w:pPr>
        <w:ind w:right="439"/>
      </w:pPr>
      <w:r>
        <w:t xml:space="preserve">The transformation phase was the most complex and was broken down by table. </w:t>
      </w:r>
    </w:p>
    <w:p w14:paraId="1BD92CA6" w14:textId="77777777" w:rsidR="008C2A20" w:rsidRDefault="007F547B">
      <w:pPr>
        <w:pStyle w:val="Heading4"/>
        <w:spacing w:after="259"/>
        <w:ind w:left="-5"/>
      </w:pPr>
      <w:r>
        <w:rPr>
          <w:sz w:val="22"/>
        </w:rPr>
        <w:lastRenderedPageBreak/>
        <w:t>5.2.1 Transforming Stock Price Data (Fact Table)</w:t>
      </w:r>
      <w:r>
        <w:rPr>
          <w:sz w:val="22"/>
          <w:u w:val="none"/>
        </w:rPr>
        <w:t xml:space="preserve"> </w:t>
      </w:r>
    </w:p>
    <w:p w14:paraId="7592AE59" w14:textId="77777777" w:rsidR="008C2A20" w:rsidRDefault="007F547B">
      <w:pPr>
        <w:ind w:right="439"/>
      </w:pPr>
      <w:r>
        <w:rPr>
          <w:b/>
        </w:rPr>
        <w:t>Goal:</w:t>
      </w:r>
      <w:r>
        <w:t xml:space="preserve"> Convert daily stock data into monthly aggregates and calculate derived financial metrics. </w:t>
      </w:r>
    </w:p>
    <w:p w14:paraId="17378891" w14:textId="77777777" w:rsidR="008C2A20" w:rsidRDefault="007F547B">
      <w:pPr>
        <w:spacing w:line="268" w:lineRule="auto"/>
        <w:ind w:left="-5" w:right="5693"/>
        <w:jc w:val="left"/>
      </w:pPr>
      <w:r>
        <w:rPr>
          <w:b/>
        </w:rPr>
        <w:t xml:space="preserve">Steps: </w:t>
      </w:r>
    </w:p>
    <w:p w14:paraId="487EDC72" w14:textId="77777777" w:rsidR="008C2A20" w:rsidRDefault="007F547B">
      <w:pPr>
        <w:numPr>
          <w:ilvl w:val="0"/>
          <w:numId w:val="9"/>
        </w:numPr>
        <w:spacing w:after="9"/>
        <w:ind w:right="439" w:hanging="410"/>
      </w:pPr>
      <w:r>
        <w:t xml:space="preserve">Convert </w:t>
      </w:r>
      <w:r>
        <w:rPr>
          <w:color w:val="188038"/>
        </w:rPr>
        <w:t>date</w:t>
      </w:r>
      <w:r>
        <w:t xml:space="preserve"> column to </w:t>
      </w:r>
      <w:r>
        <w:rPr>
          <w:color w:val="188038"/>
        </w:rPr>
        <w:t>datetime</w:t>
      </w:r>
      <w:r>
        <w:t xml:space="preserve"> format. </w:t>
      </w:r>
    </w:p>
    <w:p w14:paraId="45DBDCFA" w14:textId="77777777" w:rsidR="008C2A20" w:rsidRDefault="007F547B">
      <w:pPr>
        <w:numPr>
          <w:ilvl w:val="0"/>
          <w:numId w:val="9"/>
        </w:numPr>
        <w:spacing w:after="9"/>
        <w:ind w:right="439" w:hanging="410"/>
      </w:pPr>
      <w:r>
        <w:t xml:space="preserve">Extract </w:t>
      </w:r>
      <w:r>
        <w:rPr>
          <w:color w:val="188038"/>
        </w:rPr>
        <w:t>year</w:t>
      </w:r>
      <w:r>
        <w:t xml:space="preserve"> and </w:t>
      </w:r>
      <w:r>
        <w:rPr>
          <w:color w:val="188038"/>
        </w:rPr>
        <w:t>month</w:t>
      </w:r>
      <w:r>
        <w:t xml:space="preserve"> into new columns. </w:t>
      </w:r>
    </w:p>
    <w:p w14:paraId="1EB93B50" w14:textId="77777777" w:rsidR="008C2A20" w:rsidRDefault="007F547B">
      <w:pPr>
        <w:numPr>
          <w:ilvl w:val="0"/>
          <w:numId w:val="9"/>
        </w:numPr>
        <w:spacing w:after="9"/>
        <w:ind w:right="439" w:hanging="410"/>
      </w:pPr>
      <w:r>
        <w:t xml:space="preserve">Group by </w:t>
      </w:r>
      <w:r>
        <w:rPr>
          <w:color w:val="188038"/>
        </w:rPr>
        <w:t>Ticker</w:t>
      </w:r>
      <w:r>
        <w:t xml:space="preserve">, </w:t>
      </w:r>
      <w:r>
        <w:rPr>
          <w:color w:val="188038"/>
        </w:rPr>
        <w:t>Year</w:t>
      </w:r>
      <w:r>
        <w:t xml:space="preserve">, </w:t>
      </w:r>
      <w:r>
        <w:rPr>
          <w:color w:val="188038"/>
        </w:rPr>
        <w:t>Month</w:t>
      </w:r>
      <w:r>
        <w:t xml:space="preserve"> and compute:</w:t>
      </w:r>
      <w:r>
        <w:rPr>
          <w:rFonts w:ascii="Arial" w:eastAsia="Arial" w:hAnsi="Arial" w:cs="Arial"/>
        </w:rPr>
        <w:t xml:space="preserve"> </w:t>
      </w:r>
    </w:p>
    <w:p w14:paraId="43253365" w14:textId="77777777" w:rsidR="008C2A20" w:rsidRDefault="007F547B">
      <w:pPr>
        <w:spacing w:after="19" w:line="259" w:lineRule="auto"/>
        <w:ind w:left="720" w:right="0" w:firstLine="0"/>
        <w:jc w:val="left"/>
      </w:pPr>
      <w:r>
        <w:t xml:space="preserve"> </w:t>
      </w:r>
    </w:p>
    <w:p w14:paraId="0531808A" w14:textId="77777777" w:rsidR="008C2A20" w:rsidRDefault="007F547B">
      <w:pPr>
        <w:spacing w:after="9"/>
        <w:ind w:left="1090" w:right="439"/>
      </w:pPr>
      <w:r>
        <w:rPr>
          <w:rFonts w:ascii="Arial" w:eastAsia="Arial" w:hAnsi="Arial" w:cs="Arial"/>
        </w:rPr>
        <w:t xml:space="preserve">○ </w:t>
      </w:r>
      <w:proofErr w:type="spellStart"/>
      <w:r>
        <w:rPr>
          <w:color w:val="188038"/>
        </w:rPr>
        <w:t>month_end_close</w:t>
      </w:r>
      <w:proofErr w:type="spellEnd"/>
      <w:r>
        <w:t xml:space="preserve">: last closing price in the month </w:t>
      </w:r>
    </w:p>
    <w:p w14:paraId="571CCF40" w14:textId="77777777" w:rsidR="008C2A20" w:rsidRDefault="007F547B">
      <w:pPr>
        <w:spacing w:after="21" w:line="259" w:lineRule="auto"/>
        <w:ind w:left="1090" w:right="0"/>
        <w:jc w:val="left"/>
      </w:pPr>
      <w:r>
        <w:rPr>
          <w:rFonts w:ascii="Arial" w:eastAsia="Arial" w:hAnsi="Arial" w:cs="Arial"/>
        </w:rPr>
        <w:t xml:space="preserve">○ </w:t>
      </w:r>
      <w:proofErr w:type="spellStart"/>
      <w:r>
        <w:rPr>
          <w:color w:val="188038"/>
        </w:rPr>
        <w:t>monthly_high</w:t>
      </w:r>
      <w:proofErr w:type="spellEnd"/>
      <w:r>
        <w:t xml:space="preserve">: max of </w:t>
      </w:r>
      <w:r>
        <w:rPr>
          <w:color w:val="188038"/>
        </w:rPr>
        <w:t xml:space="preserve">high </w:t>
      </w:r>
    </w:p>
    <w:p w14:paraId="0747AF08" w14:textId="77777777" w:rsidR="008C2A20" w:rsidRDefault="007F547B">
      <w:pPr>
        <w:spacing w:after="21" w:line="259" w:lineRule="auto"/>
        <w:ind w:left="1090" w:right="0"/>
        <w:jc w:val="left"/>
      </w:pPr>
      <w:r>
        <w:rPr>
          <w:rFonts w:ascii="Arial" w:eastAsia="Arial" w:hAnsi="Arial" w:cs="Arial"/>
        </w:rPr>
        <w:t xml:space="preserve">○ </w:t>
      </w:r>
      <w:proofErr w:type="spellStart"/>
      <w:r>
        <w:rPr>
          <w:color w:val="188038"/>
        </w:rPr>
        <w:t>monthly_low</w:t>
      </w:r>
      <w:proofErr w:type="spellEnd"/>
      <w:r>
        <w:t xml:space="preserve">: min of </w:t>
      </w:r>
      <w:r>
        <w:rPr>
          <w:color w:val="188038"/>
        </w:rPr>
        <w:t xml:space="preserve">low </w:t>
      </w:r>
    </w:p>
    <w:p w14:paraId="64128525" w14:textId="77777777" w:rsidR="008C2A20" w:rsidRDefault="007F547B">
      <w:pPr>
        <w:spacing w:after="21" w:line="259" w:lineRule="auto"/>
        <w:ind w:left="1090" w:right="0"/>
        <w:jc w:val="left"/>
      </w:pPr>
      <w:r>
        <w:rPr>
          <w:rFonts w:ascii="Arial" w:eastAsia="Arial" w:hAnsi="Arial" w:cs="Arial"/>
        </w:rPr>
        <w:t xml:space="preserve">○ </w:t>
      </w:r>
      <w:proofErr w:type="spellStart"/>
      <w:r>
        <w:rPr>
          <w:color w:val="188038"/>
        </w:rPr>
        <w:t>total_volume</w:t>
      </w:r>
      <w:proofErr w:type="spellEnd"/>
      <w:r>
        <w:t xml:space="preserve">: sum of </w:t>
      </w:r>
      <w:r>
        <w:rPr>
          <w:color w:val="188038"/>
        </w:rPr>
        <w:t xml:space="preserve">volume </w:t>
      </w:r>
    </w:p>
    <w:p w14:paraId="358AC1F8" w14:textId="77777777" w:rsidR="008C2A20" w:rsidRDefault="007F547B">
      <w:pPr>
        <w:spacing w:after="9"/>
        <w:ind w:left="1090" w:right="439"/>
      </w:pPr>
      <w:r>
        <w:rPr>
          <w:rFonts w:ascii="Arial" w:eastAsia="Arial" w:hAnsi="Arial" w:cs="Arial"/>
        </w:rPr>
        <w:t xml:space="preserve">○ </w:t>
      </w:r>
      <w:proofErr w:type="spellStart"/>
      <w:r>
        <w:rPr>
          <w:color w:val="188038"/>
        </w:rPr>
        <w:t>monthly_</w:t>
      </w:r>
      <w:proofErr w:type="gramStart"/>
      <w:r>
        <w:rPr>
          <w:color w:val="188038"/>
        </w:rPr>
        <w:t>return</w:t>
      </w:r>
      <w:proofErr w:type="spellEnd"/>
      <w:r>
        <w:t xml:space="preserve">  was</w:t>
      </w:r>
      <w:proofErr w:type="gramEnd"/>
      <w:r>
        <w:t xml:space="preserve"> calculated in Python </w:t>
      </w:r>
      <w:r>
        <w:rPr>
          <w:color w:val="1155CC"/>
          <w:u w:val="single" w:color="1155CC"/>
        </w:rPr>
        <w:t>(Appendix 12.3)</w:t>
      </w:r>
      <w:r>
        <w:rPr>
          <w:rFonts w:ascii="Arial" w:eastAsia="Arial" w:hAnsi="Arial" w:cs="Arial"/>
          <w:color w:val="1155CC"/>
        </w:rPr>
        <w:t xml:space="preserve"> </w:t>
      </w:r>
    </w:p>
    <w:p w14:paraId="274025A8" w14:textId="77777777" w:rsidR="008C2A20" w:rsidRDefault="007F547B">
      <w:pPr>
        <w:spacing w:after="19" w:line="259" w:lineRule="auto"/>
        <w:ind w:left="1440" w:right="0" w:firstLine="0"/>
        <w:jc w:val="left"/>
      </w:pPr>
      <w:r>
        <w:rPr>
          <w:color w:val="188038"/>
        </w:rPr>
        <w:t xml:space="preserve"> </w:t>
      </w:r>
    </w:p>
    <w:p w14:paraId="62F15A59" w14:textId="77777777" w:rsidR="008C2A20" w:rsidRDefault="007F547B">
      <w:pPr>
        <w:numPr>
          <w:ilvl w:val="0"/>
          <w:numId w:val="9"/>
        </w:numPr>
        <w:spacing w:after="8"/>
        <w:ind w:right="439" w:hanging="410"/>
      </w:pPr>
      <w:r>
        <w:t xml:space="preserve">This was done </w:t>
      </w:r>
      <w:proofErr w:type="gramStart"/>
      <w:r>
        <w:t xml:space="preserve">using </w:t>
      </w:r>
      <w:r>
        <w:rPr>
          <w:color w:val="188038"/>
        </w:rPr>
        <w:t>.</w:t>
      </w:r>
      <w:proofErr w:type="spellStart"/>
      <w:r>
        <w:rPr>
          <w:color w:val="188038"/>
        </w:rPr>
        <w:t>groupby</w:t>
      </w:r>
      <w:proofErr w:type="spellEnd"/>
      <w:proofErr w:type="gramEnd"/>
      <w:r>
        <w:rPr>
          <w:color w:val="188038"/>
        </w:rPr>
        <w:t>()</w:t>
      </w:r>
      <w:r>
        <w:t xml:space="preserve"> </w:t>
      </w:r>
      <w:proofErr w:type="gramStart"/>
      <w:r>
        <w:t xml:space="preserve">and </w:t>
      </w:r>
      <w:r>
        <w:rPr>
          <w:color w:val="188038"/>
        </w:rPr>
        <w:t>.shift</w:t>
      </w:r>
      <w:proofErr w:type="gramEnd"/>
      <w:r>
        <w:rPr>
          <w:color w:val="188038"/>
        </w:rPr>
        <w:t>()</w:t>
      </w:r>
      <w:r>
        <w:t xml:space="preserve"> in Pandas. </w:t>
      </w:r>
    </w:p>
    <w:p w14:paraId="6023EAA3" w14:textId="77777777" w:rsidR="008C2A20" w:rsidRDefault="007F547B">
      <w:pPr>
        <w:numPr>
          <w:ilvl w:val="0"/>
          <w:numId w:val="9"/>
        </w:numPr>
        <w:spacing w:after="8"/>
        <w:ind w:right="439" w:hanging="410"/>
      </w:pPr>
      <w:r>
        <w:t xml:space="preserve">Generate </w:t>
      </w:r>
      <w:proofErr w:type="spellStart"/>
      <w:r>
        <w:rPr>
          <w:color w:val="188038"/>
        </w:rPr>
        <w:t>DateKey</w:t>
      </w:r>
      <w:proofErr w:type="spellEnd"/>
      <w:r>
        <w:t xml:space="preserve"> in </w:t>
      </w:r>
      <w:r>
        <w:rPr>
          <w:color w:val="188038"/>
        </w:rPr>
        <w:t>YYYYMM</w:t>
      </w:r>
      <w:r>
        <w:t xml:space="preserve"> format as integer (e.g., 201401). </w:t>
      </w:r>
    </w:p>
    <w:p w14:paraId="5CED550A" w14:textId="77777777" w:rsidR="008C2A20" w:rsidRDefault="007F547B">
      <w:pPr>
        <w:numPr>
          <w:ilvl w:val="0"/>
          <w:numId w:val="9"/>
        </w:numPr>
        <w:ind w:right="439" w:hanging="410"/>
      </w:pPr>
      <w:r>
        <w:t xml:space="preserve">Filter out records with nulls or zeros after calculations. </w:t>
      </w:r>
    </w:p>
    <w:p w14:paraId="17E45B12" w14:textId="77777777" w:rsidR="008C2A20" w:rsidRDefault="007F547B">
      <w:pPr>
        <w:ind w:right="439"/>
      </w:pPr>
      <w:r>
        <w:t xml:space="preserve">The result was a clean, monthly-grain table of stock performance, with approximately 29,000 records and 6 key metrics. </w:t>
      </w:r>
    </w:p>
    <w:p w14:paraId="2E866D60" w14:textId="77777777" w:rsidR="008C2A20" w:rsidRDefault="007F547B">
      <w:pPr>
        <w:spacing w:after="0" w:line="490" w:lineRule="auto"/>
        <w:ind w:right="3435"/>
      </w:pPr>
      <w:r>
        <w:rPr>
          <w:b/>
          <w:u w:val="single" w:color="000000"/>
        </w:rPr>
        <w:t>5.2.2 Transforming Company Metadata (</w:t>
      </w:r>
      <w:proofErr w:type="spellStart"/>
      <w:r>
        <w:rPr>
          <w:b/>
          <w:u w:val="single" w:color="000000"/>
        </w:rPr>
        <w:t>DimCompany</w:t>
      </w:r>
      <w:proofErr w:type="spellEnd"/>
      <w:r>
        <w:rPr>
          <w:b/>
          <w:u w:val="single" w:color="000000"/>
        </w:rPr>
        <w:t xml:space="preserve"> Table)</w:t>
      </w:r>
      <w:r>
        <w:rPr>
          <w:b/>
        </w:rPr>
        <w:t xml:space="preserve"> Goal:</w:t>
      </w:r>
      <w:r>
        <w:t xml:space="preserve"> Standardise company context data and assign a surrogate key. </w:t>
      </w:r>
    </w:p>
    <w:p w14:paraId="761EB950" w14:textId="77777777" w:rsidR="008C2A20" w:rsidRDefault="007F547B">
      <w:pPr>
        <w:spacing w:line="268" w:lineRule="auto"/>
        <w:ind w:left="-5" w:right="5693"/>
        <w:jc w:val="left"/>
      </w:pPr>
      <w:r>
        <w:rPr>
          <w:b/>
        </w:rPr>
        <w:t xml:space="preserve">Steps: </w:t>
      </w:r>
    </w:p>
    <w:p w14:paraId="13B8302B" w14:textId="77777777" w:rsidR="008C2A20" w:rsidRDefault="007F547B">
      <w:pPr>
        <w:numPr>
          <w:ilvl w:val="0"/>
          <w:numId w:val="10"/>
        </w:numPr>
        <w:spacing w:after="8"/>
        <w:ind w:right="439" w:hanging="360"/>
      </w:pPr>
      <w:r>
        <w:t xml:space="preserve">Filter company metadata to include only tickers present in stock price dataset. </w:t>
      </w:r>
    </w:p>
    <w:p w14:paraId="1C1CB013" w14:textId="77777777" w:rsidR="008C2A20" w:rsidRDefault="007F547B">
      <w:pPr>
        <w:numPr>
          <w:ilvl w:val="0"/>
          <w:numId w:val="10"/>
        </w:numPr>
        <w:spacing w:after="21" w:line="259" w:lineRule="auto"/>
        <w:ind w:right="439" w:hanging="360"/>
      </w:pPr>
      <w:r>
        <w:t>Standardise fields (</w:t>
      </w:r>
      <w:r>
        <w:rPr>
          <w:color w:val="188038"/>
        </w:rPr>
        <w:t>Sector</w:t>
      </w:r>
      <w:r>
        <w:t xml:space="preserve">, </w:t>
      </w:r>
      <w:r>
        <w:rPr>
          <w:color w:val="188038"/>
        </w:rPr>
        <w:t>Industry</w:t>
      </w:r>
      <w:r>
        <w:t xml:space="preserve">, </w:t>
      </w:r>
      <w:r>
        <w:rPr>
          <w:color w:val="188038"/>
        </w:rPr>
        <w:t>Country</w:t>
      </w:r>
      <w:r>
        <w:t xml:space="preserve">) using </w:t>
      </w:r>
      <w:r>
        <w:rPr>
          <w:color w:val="188038"/>
        </w:rPr>
        <w:t>.</w:t>
      </w:r>
      <w:proofErr w:type="spellStart"/>
      <w:proofErr w:type="gramStart"/>
      <w:r>
        <w:rPr>
          <w:color w:val="188038"/>
        </w:rPr>
        <w:t>str.strip</w:t>
      </w:r>
      <w:proofErr w:type="spellEnd"/>
      <w:proofErr w:type="gramEnd"/>
      <w:r>
        <w:rPr>
          <w:color w:val="188038"/>
        </w:rPr>
        <w:t>()</w:t>
      </w:r>
      <w:r>
        <w:t xml:space="preserve"> </w:t>
      </w:r>
      <w:proofErr w:type="gramStart"/>
      <w:r>
        <w:t xml:space="preserve">and </w:t>
      </w:r>
      <w:r>
        <w:rPr>
          <w:color w:val="188038"/>
        </w:rPr>
        <w:t>.</w:t>
      </w:r>
      <w:proofErr w:type="spellStart"/>
      <w:r>
        <w:rPr>
          <w:color w:val="188038"/>
        </w:rPr>
        <w:t>fillna</w:t>
      </w:r>
      <w:proofErr w:type="spellEnd"/>
      <w:proofErr w:type="gramEnd"/>
      <w:r>
        <w:rPr>
          <w:color w:val="188038"/>
        </w:rPr>
        <w:t>()</w:t>
      </w:r>
      <w:r>
        <w:t xml:space="preserve">. </w:t>
      </w:r>
    </w:p>
    <w:p w14:paraId="139B8333" w14:textId="77777777" w:rsidR="008C2A20" w:rsidRDefault="007F547B">
      <w:pPr>
        <w:numPr>
          <w:ilvl w:val="0"/>
          <w:numId w:val="10"/>
        </w:numPr>
        <w:spacing w:after="9"/>
        <w:ind w:right="439" w:hanging="360"/>
      </w:pPr>
      <w:r>
        <w:t xml:space="preserve">Replace missing IPO years with 0 and convert column to </w:t>
      </w:r>
      <w:r>
        <w:rPr>
          <w:color w:val="188038"/>
        </w:rPr>
        <w:t>int</w:t>
      </w:r>
      <w:r>
        <w:t xml:space="preserve">. </w:t>
      </w:r>
    </w:p>
    <w:p w14:paraId="5004FB24" w14:textId="77777777" w:rsidR="008C2A20" w:rsidRDefault="007F547B">
      <w:pPr>
        <w:numPr>
          <w:ilvl w:val="0"/>
          <w:numId w:val="10"/>
        </w:numPr>
        <w:ind w:right="439" w:hanging="360"/>
      </w:pPr>
      <w:r>
        <w:t xml:space="preserve">Generate </w:t>
      </w:r>
      <w:proofErr w:type="spellStart"/>
      <w:r>
        <w:rPr>
          <w:color w:val="188038"/>
        </w:rPr>
        <w:t>CompanyKey</w:t>
      </w:r>
      <w:proofErr w:type="spellEnd"/>
      <w:r>
        <w:t xml:space="preserve"> using the index position + 1. </w:t>
      </w:r>
    </w:p>
    <w:p w14:paraId="6A237615" w14:textId="77777777" w:rsidR="008C2A20" w:rsidRDefault="007F547B">
      <w:pPr>
        <w:spacing w:line="268" w:lineRule="auto"/>
        <w:ind w:left="-5" w:right="5693"/>
        <w:jc w:val="left"/>
      </w:pPr>
      <w:r>
        <w:rPr>
          <w:b/>
        </w:rPr>
        <w:t xml:space="preserve">Final Columns: </w:t>
      </w:r>
    </w:p>
    <w:p w14:paraId="6D75F3F2" w14:textId="77777777" w:rsidR="008C2A20" w:rsidRDefault="007F547B">
      <w:pPr>
        <w:numPr>
          <w:ilvl w:val="0"/>
          <w:numId w:val="11"/>
        </w:numPr>
        <w:spacing w:after="21" w:line="259" w:lineRule="auto"/>
        <w:ind w:right="0" w:hanging="360"/>
        <w:jc w:val="left"/>
      </w:pPr>
      <w:proofErr w:type="spellStart"/>
      <w:r>
        <w:rPr>
          <w:color w:val="188038"/>
        </w:rPr>
        <w:t>CompanyKey</w:t>
      </w:r>
      <w:proofErr w:type="spellEnd"/>
      <w:r>
        <w:t xml:space="preserve"> (PK) </w:t>
      </w:r>
    </w:p>
    <w:p w14:paraId="611C6F77" w14:textId="77777777" w:rsidR="008C2A20" w:rsidRDefault="007F547B">
      <w:pPr>
        <w:numPr>
          <w:ilvl w:val="0"/>
          <w:numId w:val="11"/>
        </w:numPr>
        <w:spacing w:after="21" w:line="259" w:lineRule="auto"/>
        <w:ind w:right="0" w:hanging="360"/>
        <w:jc w:val="left"/>
      </w:pPr>
      <w:r>
        <w:rPr>
          <w:color w:val="188038"/>
        </w:rPr>
        <w:t xml:space="preserve">Ticker </w:t>
      </w:r>
    </w:p>
    <w:p w14:paraId="1AED1F72" w14:textId="77777777" w:rsidR="008C2A20" w:rsidRDefault="007F547B">
      <w:pPr>
        <w:numPr>
          <w:ilvl w:val="0"/>
          <w:numId w:val="11"/>
        </w:numPr>
        <w:spacing w:after="21" w:line="259" w:lineRule="auto"/>
        <w:ind w:right="0" w:hanging="360"/>
        <w:jc w:val="left"/>
      </w:pPr>
      <w:proofErr w:type="spellStart"/>
      <w:r>
        <w:rPr>
          <w:color w:val="188038"/>
        </w:rPr>
        <w:t>CompanyName</w:t>
      </w:r>
      <w:proofErr w:type="spellEnd"/>
      <w:r>
        <w:rPr>
          <w:color w:val="188038"/>
        </w:rPr>
        <w:t xml:space="preserve"> </w:t>
      </w:r>
    </w:p>
    <w:p w14:paraId="15DC0B85" w14:textId="77777777" w:rsidR="008C2A20" w:rsidRDefault="007F547B">
      <w:pPr>
        <w:numPr>
          <w:ilvl w:val="0"/>
          <w:numId w:val="11"/>
        </w:numPr>
        <w:spacing w:after="21" w:line="259" w:lineRule="auto"/>
        <w:ind w:right="0" w:hanging="360"/>
        <w:jc w:val="left"/>
      </w:pPr>
      <w:r>
        <w:rPr>
          <w:color w:val="188038"/>
        </w:rPr>
        <w:t xml:space="preserve">Sector </w:t>
      </w:r>
    </w:p>
    <w:p w14:paraId="35B29C26" w14:textId="77777777" w:rsidR="008C2A20" w:rsidRDefault="007F547B">
      <w:pPr>
        <w:numPr>
          <w:ilvl w:val="0"/>
          <w:numId w:val="11"/>
        </w:numPr>
        <w:spacing w:after="21" w:line="259" w:lineRule="auto"/>
        <w:ind w:right="0" w:hanging="360"/>
        <w:jc w:val="left"/>
      </w:pPr>
      <w:r>
        <w:rPr>
          <w:color w:val="188038"/>
        </w:rPr>
        <w:t xml:space="preserve">Industry </w:t>
      </w:r>
    </w:p>
    <w:p w14:paraId="201D2570" w14:textId="77777777" w:rsidR="008C2A20" w:rsidRDefault="007F547B">
      <w:pPr>
        <w:numPr>
          <w:ilvl w:val="0"/>
          <w:numId w:val="11"/>
        </w:numPr>
        <w:spacing w:after="21" w:line="259" w:lineRule="auto"/>
        <w:ind w:right="0" w:hanging="360"/>
        <w:jc w:val="left"/>
      </w:pPr>
      <w:r>
        <w:rPr>
          <w:color w:val="188038"/>
        </w:rPr>
        <w:t xml:space="preserve">Country </w:t>
      </w:r>
    </w:p>
    <w:p w14:paraId="1932060B" w14:textId="77777777" w:rsidR="008C2A20" w:rsidRDefault="007F547B">
      <w:pPr>
        <w:numPr>
          <w:ilvl w:val="0"/>
          <w:numId w:val="11"/>
        </w:numPr>
        <w:spacing w:after="21" w:line="259" w:lineRule="auto"/>
        <w:ind w:right="0" w:hanging="360"/>
        <w:jc w:val="left"/>
      </w:pPr>
      <w:proofErr w:type="spellStart"/>
      <w:r>
        <w:rPr>
          <w:color w:val="188038"/>
        </w:rPr>
        <w:t>IPO_Year</w:t>
      </w:r>
      <w:proofErr w:type="spellEnd"/>
      <w:r>
        <w:rPr>
          <w:color w:val="188038"/>
        </w:rPr>
        <w:t xml:space="preserve"> </w:t>
      </w:r>
    </w:p>
    <w:p w14:paraId="2F1E8AFF" w14:textId="77777777" w:rsidR="008C2A20" w:rsidRDefault="007F547B">
      <w:pPr>
        <w:ind w:right="439"/>
      </w:pPr>
      <w:r>
        <w:t xml:space="preserve">This dimension was used to drive filtering and grouping in Power BI visuals. </w:t>
      </w:r>
    </w:p>
    <w:p w14:paraId="41C7188D" w14:textId="77777777" w:rsidR="008C2A20" w:rsidRDefault="007F547B">
      <w:pPr>
        <w:pStyle w:val="Heading4"/>
        <w:spacing w:after="259"/>
        <w:ind w:left="-5"/>
      </w:pPr>
      <w:r>
        <w:rPr>
          <w:sz w:val="22"/>
        </w:rPr>
        <w:t>5.2.3 Transforming Macroeconomic Data (</w:t>
      </w:r>
      <w:proofErr w:type="spellStart"/>
      <w:r>
        <w:rPr>
          <w:sz w:val="22"/>
        </w:rPr>
        <w:t>DimDate</w:t>
      </w:r>
      <w:proofErr w:type="spellEnd"/>
      <w:r>
        <w:rPr>
          <w:sz w:val="22"/>
        </w:rPr>
        <w:t xml:space="preserve"> Table)</w:t>
      </w:r>
      <w:r>
        <w:rPr>
          <w:sz w:val="22"/>
          <w:u w:val="none"/>
        </w:rPr>
        <w:t xml:space="preserve"> </w:t>
      </w:r>
    </w:p>
    <w:p w14:paraId="0E05B0BE" w14:textId="77777777" w:rsidR="008C2A20" w:rsidRDefault="007F547B">
      <w:pPr>
        <w:ind w:right="439"/>
      </w:pPr>
      <w:r>
        <w:rPr>
          <w:b/>
        </w:rPr>
        <w:t xml:space="preserve">Goal: </w:t>
      </w:r>
      <w:r>
        <w:t xml:space="preserve">Create a unified date dimension with monthly granularity and economic overlays. </w:t>
      </w:r>
    </w:p>
    <w:p w14:paraId="0B5A227F" w14:textId="77777777" w:rsidR="008C2A20" w:rsidRDefault="007F547B">
      <w:pPr>
        <w:spacing w:line="268" w:lineRule="auto"/>
        <w:ind w:left="-5" w:right="5693"/>
        <w:jc w:val="left"/>
      </w:pPr>
      <w:r>
        <w:rPr>
          <w:b/>
        </w:rPr>
        <w:lastRenderedPageBreak/>
        <w:t xml:space="preserve">Steps: </w:t>
      </w:r>
    </w:p>
    <w:p w14:paraId="1BEA21D4" w14:textId="77777777" w:rsidR="008C2A20" w:rsidRDefault="007F547B">
      <w:pPr>
        <w:numPr>
          <w:ilvl w:val="0"/>
          <w:numId w:val="12"/>
        </w:numPr>
        <w:spacing w:after="8"/>
        <w:ind w:right="439" w:hanging="360"/>
      </w:pPr>
      <w:r>
        <w:t xml:space="preserve">Generate a monthly date range from Jan 2013 to Dec 2017 using </w:t>
      </w:r>
      <w:proofErr w:type="spellStart"/>
      <w:proofErr w:type="gramStart"/>
      <w:r>
        <w:rPr>
          <w:color w:val="188038"/>
        </w:rPr>
        <w:t>pandas.date</w:t>
      </w:r>
      <w:proofErr w:type="gramEnd"/>
      <w:r>
        <w:rPr>
          <w:color w:val="188038"/>
        </w:rPr>
        <w:t>_</w:t>
      </w:r>
      <w:proofErr w:type="gramStart"/>
      <w:r>
        <w:rPr>
          <w:color w:val="188038"/>
        </w:rPr>
        <w:t>range</w:t>
      </w:r>
      <w:proofErr w:type="spellEnd"/>
      <w:r>
        <w:rPr>
          <w:color w:val="188038"/>
        </w:rPr>
        <w:t>(</w:t>
      </w:r>
      <w:proofErr w:type="gramEnd"/>
      <w:r>
        <w:rPr>
          <w:color w:val="188038"/>
        </w:rPr>
        <w:t>)</w:t>
      </w:r>
      <w:r>
        <w:t xml:space="preserve">. </w:t>
      </w:r>
    </w:p>
    <w:p w14:paraId="002084A2" w14:textId="77777777" w:rsidR="008C2A20" w:rsidRDefault="007F547B">
      <w:pPr>
        <w:numPr>
          <w:ilvl w:val="0"/>
          <w:numId w:val="12"/>
        </w:numPr>
        <w:spacing w:after="8"/>
        <w:ind w:right="439" w:hanging="360"/>
      </w:pPr>
      <w:r>
        <w:t xml:space="preserve">Assign each row a </w:t>
      </w:r>
      <w:proofErr w:type="spellStart"/>
      <w:r>
        <w:rPr>
          <w:color w:val="188038"/>
        </w:rPr>
        <w:t>DateKey</w:t>
      </w:r>
      <w:proofErr w:type="spellEnd"/>
      <w:r>
        <w:t xml:space="preserve"> in </w:t>
      </w:r>
      <w:r>
        <w:rPr>
          <w:color w:val="188038"/>
        </w:rPr>
        <w:t>YYYYMM</w:t>
      </w:r>
      <w:r>
        <w:t xml:space="preserve"> format. </w:t>
      </w:r>
    </w:p>
    <w:p w14:paraId="7A8CDA51" w14:textId="77777777" w:rsidR="008C2A20" w:rsidRDefault="007F547B">
      <w:pPr>
        <w:numPr>
          <w:ilvl w:val="0"/>
          <w:numId w:val="12"/>
        </w:numPr>
        <w:spacing w:after="9"/>
        <w:ind w:right="439" w:hanging="360"/>
      </w:pPr>
      <w:r>
        <w:t xml:space="preserve">Merge the </w:t>
      </w:r>
      <w:proofErr w:type="spellStart"/>
      <w:r>
        <w:rPr>
          <w:color w:val="188038"/>
        </w:rPr>
        <w:t>interest_rate</w:t>
      </w:r>
      <w:proofErr w:type="spellEnd"/>
      <w:r>
        <w:t xml:space="preserve">, </w:t>
      </w:r>
      <w:proofErr w:type="spellStart"/>
      <w:r>
        <w:rPr>
          <w:color w:val="188038"/>
        </w:rPr>
        <w:t>inflation_rate</w:t>
      </w:r>
      <w:proofErr w:type="spellEnd"/>
      <w:r>
        <w:t xml:space="preserve">, and </w:t>
      </w:r>
      <w:proofErr w:type="spellStart"/>
      <w:r>
        <w:rPr>
          <w:color w:val="188038"/>
        </w:rPr>
        <w:t>gdp_growth</w:t>
      </w:r>
      <w:proofErr w:type="spellEnd"/>
      <w:r>
        <w:t xml:space="preserve"> columns into this base table. </w:t>
      </w:r>
    </w:p>
    <w:p w14:paraId="08A060B9" w14:textId="77777777" w:rsidR="008C2A20" w:rsidRDefault="007F547B">
      <w:pPr>
        <w:numPr>
          <w:ilvl w:val="0"/>
          <w:numId w:val="12"/>
        </w:numPr>
        <w:spacing w:after="11"/>
        <w:ind w:right="439" w:hanging="360"/>
      </w:pPr>
      <w:r>
        <w:t xml:space="preserve">Extract: </w:t>
      </w:r>
    </w:p>
    <w:p w14:paraId="0BAB4E7C" w14:textId="77777777" w:rsidR="008C2A20" w:rsidRDefault="007F547B">
      <w:pPr>
        <w:spacing w:after="21" w:line="259" w:lineRule="auto"/>
        <w:ind w:left="1090" w:right="0"/>
        <w:jc w:val="left"/>
      </w:pPr>
      <w:r>
        <w:rPr>
          <w:rFonts w:ascii="Arial" w:eastAsia="Arial" w:hAnsi="Arial" w:cs="Arial"/>
        </w:rPr>
        <w:t xml:space="preserve">○ </w:t>
      </w:r>
      <w:r>
        <w:rPr>
          <w:color w:val="188038"/>
        </w:rPr>
        <w:t xml:space="preserve">Year </w:t>
      </w:r>
    </w:p>
    <w:p w14:paraId="45EEA424" w14:textId="77777777" w:rsidR="008C2A20" w:rsidRDefault="007F547B">
      <w:pPr>
        <w:spacing w:after="21" w:line="259" w:lineRule="auto"/>
        <w:ind w:left="1090" w:right="0"/>
        <w:jc w:val="left"/>
      </w:pPr>
      <w:r>
        <w:rPr>
          <w:rFonts w:ascii="Arial" w:eastAsia="Arial" w:hAnsi="Arial" w:cs="Arial"/>
        </w:rPr>
        <w:t xml:space="preserve">○ </w:t>
      </w:r>
      <w:r>
        <w:rPr>
          <w:color w:val="188038"/>
        </w:rPr>
        <w:t xml:space="preserve">Month </w:t>
      </w:r>
    </w:p>
    <w:p w14:paraId="6F1BE2A6" w14:textId="77777777" w:rsidR="008C2A20" w:rsidRDefault="007F547B">
      <w:pPr>
        <w:spacing w:after="21" w:line="259" w:lineRule="auto"/>
        <w:ind w:left="1090" w:right="0"/>
        <w:jc w:val="left"/>
      </w:pPr>
      <w:r>
        <w:rPr>
          <w:rFonts w:ascii="Arial" w:eastAsia="Arial" w:hAnsi="Arial" w:cs="Arial"/>
        </w:rPr>
        <w:t xml:space="preserve">○ </w:t>
      </w:r>
      <w:proofErr w:type="spellStart"/>
      <w:r>
        <w:rPr>
          <w:color w:val="188038"/>
        </w:rPr>
        <w:t>MonthName</w:t>
      </w:r>
      <w:proofErr w:type="spellEnd"/>
      <w:r>
        <w:rPr>
          <w:color w:val="188038"/>
        </w:rPr>
        <w:t xml:space="preserve"> </w:t>
      </w:r>
    </w:p>
    <w:p w14:paraId="1BD2F7E3" w14:textId="77777777" w:rsidR="008C2A20" w:rsidRDefault="007F547B">
      <w:pPr>
        <w:spacing w:after="21" w:line="259" w:lineRule="auto"/>
        <w:ind w:left="1090" w:right="0"/>
        <w:jc w:val="left"/>
      </w:pPr>
      <w:r>
        <w:rPr>
          <w:rFonts w:ascii="Arial" w:eastAsia="Arial" w:hAnsi="Arial" w:cs="Arial"/>
        </w:rPr>
        <w:t xml:space="preserve">○ </w:t>
      </w:r>
      <w:r>
        <w:rPr>
          <w:color w:val="188038"/>
        </w:rPr>
        <w:t xml:space="preserve">Quarter </w:t>
      </w:r>
    </w:p>
    <w:p w14:paraId="077C836E" w14:textId="77777777" w:rsidR="008C2A20" w:rsidRDefault="007F547B">
      <w:pPr>
        <w:ind w:left="1090" w:right="439"/>
      </w:pPr>
      <w:r>
        <w:rPr>
          <w:rFonts w:ascii="Arial" w:eastAsia="Arial" w:hAnsi="Arial" w:cs="Arial"/>
        </w:rPr>
        <w:t xml:space="preserve">○ </w:t>
      </w:r>
      <w:proofErr w:type="spellStart"/>
      <w:r>
        <w:rPr>
          <w:color w:val="188038"/>
        </w:rPr>
        <w:t>YearMonthLabel</w:t>
      </w:r>
      <w:proofErr w:type="spellEnd"/>
      <w:r>
        <w:t xml:space="preserve"> for Power BI visuals </w:t>
      </w:r>
    </w:p>
    <w:p w14:paraId="4ECABCC5" w14:textId="77777777" w:rsidR="008C2A20" w:rsidRDefault="007F547B">
      <w:pPr>
        <w:spacing w:line="268" w:lineRule="auto"/>
        <w:ind w:left="-5" w:right="5693"/>
        <w:jc w:val="left"/>
      </w:pPr>
      <w:r>
        <w:rPr>
          <w:b/>
        </w:rPr>
        <w:t xml:space="preserve">Final Columns: </w:t>
      </w:r>
    </w:p>
    <w:p w14:paraId="52B8B90B" w14:textId="77777777" w:rsidR="008C2A20" w:rsidRDefault="007F547B">
      <w:pPr>
        <w:numPr>
          <w:ilvl w:val="0"/>
          <w:numId w:val="13"/>
        </w:numPr>
        <w:spacing w:after="21" w:line="259" w:lineRule="auto"/>
        <w:ind w:right="0" w:hanging="360"/>
        <w:jc w:val="left"/>
      </w:pPr>
      <w:proofErr w:type="spellStart"/>
      <w:r>
        <w:rPr>
          <w:color w:val="188038"/>
        </w:rPr>
        <w:t>DateKey</w:t>
      </w:r>
      <w:proofErr w:type="spellEnd"/>
      <w:r>
        <w:t xml:space="preserve"> (PK) </w:t>
      </w:r>
    </w:p>
    <w:p w14:paraId="139FAEEB" w14:textId="77777777" w:rsidR="008C2A20" w:rsidRDefault="007F547B">
      <w:pPr>
        <w:numPr>
          <w:ilvl w:val="0"/>
          <w:numId w:val="13"/>
        </w:numPr>
        <w:spacing w:after="21" w:line="259" w:lineRule="auto"/>
        <w:ind w:right="0" w:hanging="360"/>
        <w:jc w:val="left"/>
      </w:pPr>
      <w:r>
        <w:rPr>
          <w:color w:val="188038"/>
        </w:rPr>
        <w:t>Year</w:t>
      </w:r>
      <w:r>
        <w:t xml:space="preserve">, </w:t>
      </w:r>
      <w:r>
        <w:rPr>
          <w:color w:val="188038"/>
        </w:rPr>
        <w:t>Month</w:t>
      </w:r>
      <w:r>
        <w:t xml:space="preserve">, </w:t>
      </w:r>
      <w:proofErr w:type="spellStart"/>
      <w:r>
        <w:rPr>
          <w:color w:val="188038"/>
        </w:rPr>
        <w:t>MonthName</w:t>
      </w:r>
      <w:proofErr w:type="spellEnd"/>
      <w:r>
        <w:t xml:space="preserve">, </w:t>
      </w:r>
      <w:r>
        <w:rPr>
          <w:color w:val="188038"/>
        </w:rPr>
        <w:t>Quarter</w:t>
      </w:r>
      <w:r>
        <w:t xml:space="preserve">, </w:t>
      </w:r>
      <w:proofErr w:type="spellStart"/>
      <w:r>
        <w:rPr>
          <w:color w:val="188038"/>
        </w:rPr>
        <w:t>YearMonthLabel</w:t>
      </w:r>
      <w:proofErr w:type="spellEnd"/>
      <w:r>
        <w:rPr>
          <w:color w:val="188038"/>
        </w:rPr>
        <w:t xml:space="preserve"> </w:t>
      </w:r>
    </w:p>
    <w:p w14:paraId="700631A1" w14:textId="77777777" w:rsidR="008C2A20" w:rsidRDefault="007F547B">
      <w:pPr>
        <w:numPr>
          <w:ilvl w:val="0"/>
          <w:numId w:val="13"/>
        </w:numPr>
        <w:spacing w:after="259" w:line="259" w:lineRule="auto"/>
        <w:ind w:right="0" w:hanging="360"/>
        <w:jc w:val="left"/>
      </w:pPr>
      <w:proofErr w:type="spellStart"/>
      <w:r>
        <w:rPr>
          <w:color w:val="188038"/>
        </w:rPr>
        <w:t>interest_rate</w:t>
      </w:r>
      <w:proofErr w:type="spellEnd"/>
      <w:r>
        <w:t xml:space="preserve">, </w:t>
      </w:r>
      <w:proofErr w:type="spellStart"/>
      <w:r>
        <w:rPr>
          <w:color w:val="188038"/>
        </w:rPr>
        <w:t>inflation_rate</w:t>
      </w:r>
      <w:proofErr w:type="spellEnd"/>
      <w:r>
        <w:t xml:space="preserve">, </w:t>
      </w:r>
      <w:proofErr w:type="spellStart"/>
      <w:r>
        <w:rPr>
          <w:color w:val="188038"/>
        </w:rPr>
        <w:t>gdp_growth</w:t>
      </w:r>
      <w:proofErr w:type="spellEnd"/>
      <w:r>
        <w:rPr>
          <w:color w:val="188038"/>
        </w:rPr>
        <w:t xml:space="preserve"> </w:t>
      </w:r>
    </w:p>
    <w:p w14:paraId="38AAD989" w14:textId="77777777" w:rsidR="008C2A20" w:rsidRDefault="007F547B">
      <w:pPr>
        <w:ind w:right="439"/>
      </w:pPr>
      <w:r>
        <w:t xml:space="preserve">This dimension supported trend analysis and </w:t>
      </w:r>
      <w:proofErr w:type="gramStart"/>
      <w:r>
        <w:t>macro overlays</w:t>
      </w:r>
      <w:proofErr w:type="gramEnd"/>
      <w:r>
        <w:t xml:space="preserve"> in reporting. </w:t>
      </w:r>
    </w:p>
    <w:p w14:paraId="0D6833EA" w14:textId="77777777" w:rsidR="008C2A20" w:rsidRDefault="007F547B">
      <w:pPr>
        <w:spacing w:after="317" w:line="259" w:lineRule="auto"/>
        <w:ind w:left="0" w:right="0" w:firstLine="0"/>
        <w:jc w:val="left"/>
      </w:pPr>
      <w:r>
        <w:t xml:space="preserve"> </w:t>
      </w:r>
    </w:p>
    <w:p w14:paraId="719C54FF" w14:textId="77777777" w:rsidR="008C2A20" w:rsidRDefault="007F547B">
      <w:pPr>
        <w:pStyle w:val="Heading2"/>
        <w:ind w:left="-5"/>
      </w:pPr>
      <w:bookmarkStart w:id="14" w:name="_Toc57558"/>
      <w:r>
        <w:t xml:space="preserve">5.3 Load </w:t>
      </w:r>
      <w:bookmarkEnd w:id="14"/>
    </w:p>
    <w:p w14:paraId="1575B54C" w14:textId="77777777" w:rsidR="008C2A20" w:rsidRDefault="007F547B">
      <w:pPr>
        <w:ind w:right="439"/>
      </w:pPr>
      <w:r>
        <w:t xml:space="preserve">After the transformation was complete in Python, the cleaned datasets were exported as CSV files using </w:t>
      </w:r>
      <w:proofErr w:type="spellStart"/>
      <w:r>
        <w:t>DataFrame.to_</w:t>
      </w:r>
      <w:proofErr w:type="gramStart"/>
      <w:r>
        <w:t>csv</w:t>
      </w:r>
      <w:proofErr w:type="spellEnd"/>
      <w:r>
        <w:t>(</w:t>
      </w:r>
      <w:proofErr w:type="gramEnd"/>
      <w:r>
        <w:t xml:space="preserve">). These CSV files were then loaded into MySQL using the MySQL Workbench Import Wizard (not via SQL scripts). </w:t>
      </w:r>
    </w:p>
    <w:p w14:paraId="5FB8E56C" w14:textId="77777777" w:rsidR="008C2A20" w:rsidRDefault="007F547B">
      <w:pPr>
        <w:spacing w:after="259" w:line="259" w:lineRule="auto"/>
        <w:ind w:left="-5" w:right="0"/>
        <w:jc w:val="left"/>
      </w:pPr>
      <w:r>
        <w:rPr>
          <w:b/>
          <w:u w:val="single" w:color="000000"/>
        </w:rPr>
        <w:t>Steps Followed:</w:t>
      </w:r>
      <w:r>
        <w:rPr>
          <w:b/>
        </w:rPr>
        <w:t xml:space="preserve"> </w:t>
      </w:r>
    </w:p>
    <w:p w14:paraId="53463EA5" w14:textId="77777777" w:rsidR="008C2A20" w:rsidRDefault="007F547B">
      <w:pPr>
        <w:tabs>
          <w:tab w:val="center" w:pos="415"/>
          <w:tab w:val="center" w:pos="3467"/>
        </w:tabs>
        <w:spacing w:after="23"/>
        <w:ind w:left="0" w:right="0" w:firstLine="0"/>
        <w:jc w:val="left"/>
      </w:pPr>
      <w:r>
        <w:tab/>
      </w:r>
      <w:r>
        <w:rPr>
          <w:rFonts w:ascii="Arial" w:eastAsia="Arial" w:hAnsi="Arial" w:cs="Arial"/>
        </w:rPr>
        <w:t xml:space="preserve">↓ </w:t>
      </w:r>
      <w:r>
        <w:rPr>
          <w:rFonts w:ascii="Arial" w:eastAsia="Arial" w:hAnsi="Arial" w:cs="Arial"/>
        </w:rPr>
        <w:tab/>
      </w:r>
      <w:r>
        <w:t xml:space="preserve">Opened MySQL Workbench and selected the target database. </w:t>
      </w:r>
    </w:p>
    <w:p w14:paraId="48DE14AF" w14:textId="77777777" w:rsidR="008C2A20" w:rsidRDefault="007F547B">
      <w:pPr>
        <w:tabs>
          <w:tab w:val="center" w:pos="415"/>
          <w:tab w:val="center" w:pos="2583"/>
        </w:tabs>
        <w:spacing w:after="24"/>
        <w:ind w:left="0" w:right="0" w:firstLine="0"/>
        <w:jc w:val="left"/>
      </w:pPr>
      <w:r>
        <w:tab/>
      </w:r>
      <w:r>
        <w:rPr>
          <w:rFonts w:ascii="Arial" w:eastAsia="Arial" w:hAnsi="Arial" w:cs="Arial"/>
        </w:rPr>
        <w:t xml:space="preserve">↓ </w:t>
      </w:r>
      <w:r>
        <w:rPr>
          <w:rFonts w:ascii="Arial" w:eastAsia="Arial" w:hAnsi="Arial" w:cs="Arial"/>
        </w:rPr>
        <w:tab/>
      </w:r>
      <w:r>
        <w:t xml:space="preserve">Used Table Data Import Wizard to import: </w:t>
      </w:r>
    </w:p>
    <w:p w14:paraId="0ACC6820" w14:textId="77777777" w:rsidR="008C2A20" w:rsidRDefault="007F547B">
      <w:pPr>
        <w:tabs>
          <w:tab w:val="center" w:pos="415"/>
          <w:tab w:val="center" w:pos="1704"/>
        </w:tabs>
        <w:spacing w:after="24"/>
        <w:ind w:left="0" w:right="0" w:firstLine="0"/>
        <w:jc w:val="left"/>
      </w:pPr>
      <w:r>
        <w:tab/>
      </w:r>
      <w:r>
        <w:rPr>
          <w:rFonts w:ascii="Arial" w:eastAsia="Arial" w:hAnsi="Arial" w:cs="Arial"/>
        </w:rPr>
        <w:t xml:space="preserve">↓ </w:t>
      </w:r>
      <w:r>
        <w:rPr>
          <w:rFonts w:ascii="Arial" w:eastAsia="Arial" w:hAnsi="Arial" w:cs="Arial"/>
        </w:rPr>
        <w:tab/>
      </w:r>
      <w:r>
        <w:t xml:space="preserve">fact_stockmonthly.csv </w:t>
      </w:r>
    </w:p>
    <w:p w14:paraId="5EC35257" w14:textId="77777777" w:rsidR="008C2A20" w:rsidRDefault="007F547B">
      <w:pPr>
        <w:tabs>
          <w:tab w:val="center" w:pos="415"/>
          <w:tab w:val="center" w:pos="1511"/>
        </w:tabs>
        <w:spacing w:after="25"/>
        <w:ind w:left="0" w:right="0" w:firstLine="0"/>
        <w:jc w:val="left"/>
      </w:pPr>
      <w:r>
        <w:tab/>
      </w:r>
      <w:r>
        <w:rPr>
          <w:rFonts w:ascii="Arial" w:eastAsia="Arial" w:hAnsi="Arial" w:cs="Arial"/>
        </w:rPr>
        <w:t xml:space="preserve">↓ </w:t>
      </w:r>
      <w:r>
        <w:rPr>
          <w:rFonts w:ascii="Arial" w:eastAsia="Arial" w:hAnsi="Arial" w:cs="Arial"/>
        </w:rPr>
        <w:tab/>
      </w:r>
      <w:r>
        <w:t xml:space="preserve">dim_company.csv </w:t>
      </w:r>
    </w:p>
    <w:p w14:paraId="063AAEB9" w14:textId="77777777" w:rsidR="008C2A20" w:rsidRDefault="007F547B">
      <w:pPr>
        <w:tabs>
          <w:tab w:val="center" w:pos="415"/>
          <w:tab w:val="center" w:pos="1310"/>
        </w:tabs>
        <w:spacing w:after="24"/>
        <w:ind w:left="0" w:right="0" w:firstLine="0"/>
        <w:jc w:val="left"/>
      </w:pPr>
      <w:r>
        <w:tab/>
      </w:r>
      <w:r>
        <w:rPr>
          <w:rFonts w:ascii="Arial" w:eastAsia="Arial" w:hAnsi="Arial" w:cs="Arial"/>
        </w:rPr>
        <w:t xml:space="preserve">↓ </w:t>
      </w:r>
      <w:r>
        <w:rPr>
          <w:rFonts w:ascii="Arial" w:eastAsia="Arial" w:hAnsi="Arial" w:cs="Arial"/>
        </w:rPr>
        <w:tab/>
      </w:r>
      <w:r>
        <w:t xml:space="preserve">dim_date.csv </w:t>
      </w:r>
    </w:p>
    <w:p w14:paraId="144D9DE4" w14:textId="77777777" w:rsidR="008C2A20" w:rsidRDefault="007F547B">
      <w:pPr>
        <w:tabs>
          <w:tab w:val="center" w:pos="415"/>
          <w:tab w:val="center" w:pos="4852"/>
        </w:tabs>
        <w:ind w:left="0" w:right="0" w:firstLine="0"/>
        <w:jc w:val="left"/>
      </w:pPr>
      <w:r>
        <w:tab/>
      </w:r>
      <w:r>
        <w:rPr>
          <w:rFonts w:ascii="Arial" w:eastAsia="Arial" w:hAnsi="Arial" w:cs="Arial"/>
        </w:rPr>
        <w:t xml:space="preserve">↓ </w:t>
      </w:r>
      <w:r>
        <w:rPr>
          <w:rFonts w:ascii="Arial" w:eastAsia="Arial" w:hAnsi="Arial" w:cs="Arial"/>
        </w:rPr>
        <w:tab/>
      </w:r>
      <w:r>
        <w:t xml:space="preserve">Mapped CSV columns to MySQL fields and executed the import through the Workbench GUI. </w:t>
      </w:r>
    </w:p>
    <w:p w14:paraId="00AEED87" w14:textId="77777777" w:rsidR="008C2A20" w:rsidRDefault="007F547B">
      <w:pPr>
        <w:ind w:right="439"/>
      </w:pPr>
      <w:r>
        <w:t xml:space="preserve">This approach ensured clean schema definition and field types without writing manual SQL import queries. </w:t>
      </w:r>
    </w:p>
    <w:p w14:paraId="51DB0246" w14:textId="77777777" w:rsidR="008C2A20" w:rsidRDefault="007F547B">
      <w:pPr>
        <w:spacing w:after="0" w:line="259" w:lineRule="auto"/>
        <w:ind w:left="0" w:right="0" w:firstLine="0"/>
        <w:jc w:val="left"/>
      </w:pPr>
      <w:r>
        <w:t xml:space="preserve"> </w:t>
      </w:r>
    </w:p>
    <w:p w14:paraId="59F3140A" w14:textId="77777777" w:rsidR="008C2A20" w:rsidRDefault="007F547B">
      <w:pPr>
        <w:spacing w:after="0" w:line="268" w:lineRule="auto"/>
        <w:ind w:left="-5" w:right="5693"/>
        <w:jc w:val="left"/>
      </w:pPr>
      <w:r>
        <w:rPr>
          <w:b/>
        </w:rPr>
        <w:t xml:space="preserve">Tables created: </w:t>
      </w:r>
    </w:p>
    <w:tbl>
      <w:tblPr>
        <w:tblStyle w:val="TableGrid"/>
        <w:tblW w:w="9183" w:type="dxa"/>
        <w:tblInd w:w="8" w:type="dxa"/>
        <w:tblCellMar>
          <w:left w:w="115" w:type="dxa"/>
          <w:right w:w="115" w:type="dxa"/>
        </w:tblCellMar>
        <w:tblLook w:val="04A0" w:firstRow="1" w:lastRow="0" w:firstColumn="1" w:lastColumn="0" w:noHBand="0" w:noVBand="1"/>
      </w:tblPr>
      <w:tblGrid>
        <w:gridCol w:w="2963"/>
        <w:gridCol w:w="1580"/>
        <w:gridCol w:w="4640"/>
      </w:tblGrid>
      <w:tr w:rsidR="008C2A20" w14:paraId="0CB33AB6" w14:textId="77777777">
        <w:trPr>
          <w:trHeight w:val="540"/>
        </w:trPr>
        <w:tc>
          <w:tcPr>
            <w:tcW w:w="2963"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5D54BC6A" w14:textId="77777777" w:rsidR="008C2A20" w:rsidRDefault="007F547B">
            <w:pPr>
              <w:spacing w:after="0" w:line="259" w:lineRule="auto"/>
              <w:ind w:left="0" w:right="7" w:firstLine="0"/>
              <w:jc w:val="center"/>
            </w:pPr>
            <w:r>
              <w:rPr>
                <w:b/>
                <w:color w:val="FFFFFF"/>
              </w:rPr>
              <w:t xml:space="preserve">Table Name </w:t>
            </w:r>
          </w:p>
        </w:tc>
        <w:tc>
          <w:tcPr>
            <w:tcW w:w="158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16CD2738" w14:textId="77777777" w:rsidR="008C2A20" w:rsidRDefault="007F547B">
            <w:pPr>
              <w:spacing w:after="0" w:line="259" w:lineRule="auto"/>
              <w:ind w:left="0" w:right="5" w:firstLine="0"/>
              <w:jc w:val="center"/>
            </w:pPr>
            <w:r>
              <w:rPr>
                <w:b/>
                <w:color w:val="FFFFFF"/>
              </w:rPr>
              <w:t xml:space="preserve">Type </w:t>
            </w:r>
          </w:p>
        </w:tc>
        <w:tc>
          <w:tcPr>
            <w:tcW w:w="464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57665AB8" w14:textId="77777777" w:rsidR="008C2A20" w:rsidRDefault="007F547B">
            <w:pPr>
              <w:spacing w:after="0" w:line="259" w:lineRule="auto"/>
              <w:ind w:left="0" w:right="0" w:firstLine="0"/>
              <w:jc w:val="center"/>
            </w:pPr>
            <w:r>
              <w:rPr>
                <w:b/>
                <w:color w:val="FFFFFF"/>
              </w:rPr>
              <w:t xml:space="preserve">Description </w:t>
            </w:r>
          </w:p>
        </w:tc>
      </w:tr>
      <w:tr w:rsidR="008C2A20" w14:paraId="544368B9" w14:textId="77777777">
        <w:trPr>
          <w:trHeight w:val="520"/>
        </w:trPr>
        <w:tc>
          <w:tcPr>
            <w:tcW w:w="2963" w:type="dxa"/>
            <w:tcBorders>
              <w:top w:val="single" w:sz="8" w:space="0" w:color="000000"/>
              <w:left w:val="single" w:sz="8" w:space="0" w:color="000000"/>
              <w:bottom w:val="single" w:sz="8" w:space="0" w:color="000000"/>
              <w:right w:val="single" w:sz="8" w:space="0" w:color="000000"/>
            </w:tcBorders>
            <w:vAlign w:val="center"/>
          </w:tcPr>
          <w:p w14:paraId="52E000E1" w14:textId="77777777" w:rsidR="008C2A20" w:rsidRDefault="007F547B">
            <w:pPr>
              <w:spacing w:after="0" w:line="259" w:lineRule="auto"/>
              <w:ind w:left="0" w:right="7" w:firstLine="0"/>
              <w:jc w:val="center"/>
            </w:pPr>
            <w:proofErr w:type="spellStart"/>
            <w:r>
              <w:rPr>
                <w:color w:val="188038"/>
              </w:rPr>
              <w:t>FactStockMonthly</w:t>
            </w:r>
            <w:proofErr w:type="spellEnd"/>
            <w:r>
              <w:t xml:space="preserve"> </w:t>
            </w:r>
          </w:p>
        </w:tc>
        <w:tc>
          <w:tcPr>
            <w:tcW w:w="1580" w:type="dxa"/>
            <w:tcBorders>
              <w:top w:val="single" w:sz="8" w:space="0" w:color="000000"/>
              <w:left w:val="single" w:sz="8" w:space="0" w:color="000000"/>
              <w:bottom w:val="single" w:sz="8" w:space="0" w:color="000000"/>
              <w:right w:val="single" w:sz="8" w:space="0" w:color="000000"/>
            </w:tcBorders>
            <w:vAlign w:val="center"/>
          </w:tcPr>
          <w:p w14:paraId="768E8A62" w14:textId="77777777" w:rsidR="008C2A20" w:rsidRDefault="007F547B">
            <w:pPr>
              <w:spacing w:after="0" w:line="259" w:lineRule="auto"/>
              <w:ind w:left="0" w:right="5" w:firstLine="0"/>
              <w:jc w:val="center"/>
            </w:pPr>
            <w:r>
              <w:t xml:space="preserve">Fact </w:t>
            </w:r>
          </w:p>
        </w:tc>
        <w:tc>
          <w:tcPr>
            <w:tcW w:w="4640" w:type="dxa"/>
            <w:tcBorders>
              <w:top w:val="single" w:sz="8" w:space="0" w:color="000000"/>
              <w:left w:val="single" w:sz="8" w:space="0" w:color="000000"/>
              <w:bottom w:val="single" w:sz="8" w:space="0" w:color="000000"/>
              <w:right w:val="single" w:sz="8" w:space="0" w:color="000000"/>
            </w:tcBorders>
            <w:vAlign w:val="center"/>
          </w:tcPr>
          <w:p w14:paraId="555FB8DA" w14:textId="77777777" w:rsidR="008C2A20" w:rsidRDefault="007F547B">
            <w:pPr>
              <w:spacing w:after="0" w:line="259" w:lineRule="auto"/>
              <w:ind w:left="0" w:right="0" w:firstLine="0"/>
              <w:jc w:val="center"/>
            </w:pPr>
            <w:r>
              <w:t xml:space="preserve">Stock performance metrics by month </w:t>
            </w:r>
          </w:p>
        </w:tc>
      </w:tr>
      <w:tr w:rsidR="008C2A20" w14:paraId="0D651F9D" w14:textId="77777777">
        <w:trPr>
          <w:trHeight w:val="540"/>
        </w:trPr>
        <w:tc>
          <w:tcPr>
            <w:tcW w:w="2963" w:type="dxa"/>
            <w:tcBorders>
              <w:top w:val="single" w:sz="8" w:space="0" w:color="000000"/>
              <w:left w:val="single" w:sz="8" w:space="0" w:color="000000"/>
              <w:bottom w:val="single" w:sz="8" w:space="0" w:color="000000"/>
              <w:right w:val="single" w:sz="8" w:space="0" w:color="000000"/>
            </w:tcBorders>
            <w:vAlign w:val="center"/>
          </w:tcPr>
          <w:p w14:paraId="39155FC4" w14:textId="77777777" w:rsidR="008C2A20" w:rsidRDefault="007F547B">
            <w:pPr>
              <w:spacing w:after="0" w:line="259" w:lineRule="auto"/>
              <w:ind w:left="0" w:right="7" w:firstLine="0"/>
              <w:jc w:val="center"/>
            </w:pPr>
            <w:proofErr w:type="spellStart"/>
            <w:r>
              <w:rPr>
                <w:color w:val="188038"/>
              </w:rPr>
              <w:t>DimCompany</w:t>
            </w:r>
            <w:proofErr w:type="spellEnd"/>
            <w:r>
              <w:t xml:space="preserve"> </w:t>
            </w:r>
          </w:p>
        </w:tc>
        <w:tc>
          <w:tcPr>
            <w:tcW w:w="1580" w:type="dxa"/>
            <w:tcBorders>
              <w:top w:val="single" w:sz="8" w:space="0" w:color="000000"/>
              <w:left w:val="single" w:sz="8" w:space="0" w:color="000000"/>
              <w:bottom w:val="single" w:sz="8" w:space="0" w:color="000000"/>
              <w:right w:val="single" w:sz="8" w:space="0" w:color="000000"/>
            </w:tcBorders>
            <w:vAlign w:val="center"/>
          </w:tcPr>
          <w:p w14:paraId="0407C4E3" w14:textId="77777777" w:rsidR="008C2A20" w:rsidRDefault="007F547B">
            <w:pPr>
              <w:spacing w:after="0" w:line="259" w:lineRule="auto"/>
              <w:ind w:left="0" w:right="5" w:firstLine="0"/>
              <w:jc w:val="center"/>
            </w:pPr>
            <w:r>
              <w:t xml:space="preserve">Dim </w:t>
            </w:r>
          </w:p>
        </w:tc>
        <w:tc>
          <w:tcPr>
            <w:tcW w:w="4640" w:type="dxa"/>
            <w:tcBorders>
              <w:top w:val="single" w:sz="8" w:space="0" w:color="000000"/>
              <w:left w:val="single" w:sz="8" w:space="0" w:color="000000"/>
              <w:bottom w:val="single" w:sz="8" w:space="0" w:color="000000"/>
              <w:right w:val="single" w:sz="8" w:space="0" w:color="000000"/>
            </w:tcBorders>
            <w:vAlign w:val="center"/>
          </w:tcPr>
          <w:p w14:paraId="3918F469" w14:textId="77777777" w:rsidR="008C2A20" w:rsidRDefault="007F547B">
            <w:pPr>
              <w:spacing w:after="0" w:line="259" w:lineRule="auto"/>
              <w:ind w:left="0" w:right="0" w:firstLine="0"/>
              <w:jc w:val="center"/>
            </w:pPr>
            <w:r>
              <w:t xml:space="preserve">Company-level metadata </w:t>
            </w:r>
          </w:p>
        </w:tc>
      </w:tr>
      <w:tr w:rsidR="008C2A20" w14:paraId="0AA7C76C" w14:textId="77777777">
        <w:trPr>
          <w:trHeight w:val="540"/>
        </w:trPr>
        <w:tc>
          <w:tcPr>
            <w:tcW w:w="2963" w:type="dxa"/>
            <w:tcBorders>
              <w:top w:val="single" w:sz="8" w:space="0" w:color="000000"/>
              <w:left w:val="single" w:sz="8" w:space="0" w:color="000000"/>
              <w:bottom w:val="single" w:sz="8" w:space="0" w:color="000000"/>
              <w:right w:val="single" w:sz="8" w:space="0" w:color="000000"/>
            </w:tcBorders>
            <w:vAlign w:val="center"/>
          </w:tcPr>
          <w:p w14:paraId="7B7A77BD" w14:textId="77777777" w:rsidR="008C2A20" w:rsidRDefault="007F547B">
            <w:pPr>
              <w:spacing w:after="0" w:line="259" w:lineRule="auto"/>
              <w:ind w:left="0" w:right="7" w:firstLine="0"/>
              <w:jc w:val="center"/>
            </w:pPr>
            <w:proofErr w:type="spellStart"/>
            <w:r>
              <w:rPr>
                <w:color w:val="188038"/>
              </w:rPr>
              <w:lastRenderedPageBreak/>
              <w:t>DimDate</w:t>
            </w:r>
            <w:proofErr w:type="spellEnd"/>
            <w:r>
              <w:t xml:space="preserve"> </w:t>
            </w:r>
          </w:p>
        </w:tc>
        <w:tc>
          <w:tcPr>
            <w:tcW w:w="1580" w:type="dxa"/>
            <w:tcBorders>
              <w:top w:val="single" w:sz="8" w:space="0" w:color="000000"/>
              <w:left w:val="single" w:sz="8" w:space="0" w:color="000000"/>
              <w:bottom w:val="single" w:sz="8" w:space="0" w:color="000000"/>
              <w:right w:val="single" w:sz="8" w:space="0" w:color="000000"/>
            </w:tcBorders>
            <w:vAlign w:val="center"/>
          </w:tcPr>
          <w:p w14:paraId="24508639" w14:textId="77777777" w:rsidR="008C2A20" w:rsidRDefault="007F547B">
            <w:pPr>
              <w:spacing w:after="0" w:line="259" w:lineRule="auto"/>
              <w:ind w:left="0" w:right="5" w:firstLine="0"/>
              <w:jc w:val="center"/>
            </w:pPr>
            <w:r>
              <w:t xml:space="preserve">Dim </w:t>
            </w:r>
          </w:p>
        </w:tc>
        <w:tc>
          <w:tcPr>
            <w:tcW w:w="4640" w:type="dxa"/>
            <w:tcBorders>
              <w:top w:val="single" w:sz="8" w:space="0" w:color="000000"/>
              <w:left w:val="single" w:sz="8" w:space="0" w:color="000000"/>
              <w:bottom w:val="single" w:sz="8" w:space="0" w:color="000000"/>
              <w:right w:val="single" w:sz="8" w:space="0" w:color="000000"/>
            </w:tcBorders>
            <w:vAlign w:val="center"/>
          </w:tcPr>
          <w:p w14:paraId="4039F639" w14:textId="77777777" w:rsidR="008C2A20" w:rsidRDefault="007F547B">
            <w:pPr>
              <w:spacing w:after="0" w:line="259" w:lineRule="auto"/>
              <w:ind w:left="0" w:right="0" w:firstLine="0"/>
              <w:jc w:val="center"/>
            </w:pPr>
            <w:r>
              <w:t xml:space="preserve">Calendar and macroeconomic information </w:t>
            </w:r>
          </w:p>
        </w:tc>
      </w:tr>
    </w:tbl>
    <w:p w14:paraId="619A1E20" w14:textId="77777777" w:rsidR="008C2A20" w:rsidRDefault="007F547B">
      <w:pPr>
        <w:spacing w:after="317" w:line="259" w:lineRule="auto"/>
        <w:ind w:left="0" w:right="0" w:firstLine="0"/>
        <w:jc w:val="left"/>
      </w:pPr>
      <w:r>
        <w:t xml:space="preserve"> </w:t>
      </w:r>
    </w:p>
    <w:p w14:paraId="70828BB0" w14:textId="77777777" w:rsidR="008C2A20" w:rsidRDefault="007F547B">
      <w:pPr>
        <w:pStyle w:val="Heading2"/>
        <w:ind w:left="-5"/>
      </w:pPr>
      <w:bookmarkStart w:id="15" w:name="_Toc57559"/>
      <w:r>
        <w:t xml:space="preserve">5.4 Python Libraries and Files Used </w:t>
      </w:r>
      <w:bookmarkEnd w:id="15"/>
    </w:p>
    <w:p w14:paraId="5B35C583" w14:textId="77777777" w:rsidR="008C2A20" w:rsidRDefault="007F547B">
      <w:pPr>
        <w:numPr>
          <w:ilvl w:val="0"/>
          <w:numId w:val="14"/>
        </w:numPr>
        <w:spacing w:after="209"/>
        <w:ind w:right="439" w:hanging="360"/>
      </w:pPr>
      <w:r>
        <w:rPr>
          <w:color w:val="188038"/>
        </w:rPr>
        <w:t>pandas</w:t>
      </w:r>
      <w:r>
        <w:t xml:space="preserve">: data wrangling and aggregation </w:t>
      </w:r>
    </w:p>
    <w:p w14:paraId="38E7260E" w14:textId="77777777" w:rsidR="008C2A20" w:rsidRDefault="007F547B">
      <w:pPr>
        <w:numPr>
          <w:ilvl w:val="0"/>
          <w:numId w:val="14"/>
        </w:numPr>
        <w:spacing w:after="209"/>
        <w:ind w:right="439" w:hanging="360"/>
      </w:pPr>
      <w:proofErr w:type="spellStart"/>
      <w:r>
        <w:rPr>
          <w:color w:val="188038"/>
        </w:rPr>
        <w:t>numpy</w:t>
      </w:r>
      <w:proofErr w:type="spellEnd"/>
      <w:r>
        <w:t xml:space="preserve">: numeric calculations </w:t>
      </w:r>
    </w:p>
    <w:p w14:paraId="16ABBD68" w14:textId="77777777" w:rsidR="008C2A20" w:rsidRDefault="007F547B">
      <w:pPr>
        <w:numPr>
          <w:ilvl w:val="0"/>
          <w:numId w:val="14"/>
        </w:numPr>
        <w:ind w:right="439" w:hanging="360"/>
      </w:pPr>
      <w:r>
        <w:rPr>
          <w:color w:val="188038"/>
        </w:rPr>
        <w:t>datetime</w:t>
      </w:r>
      <w:r>
        <w:t xml:space="preserve">: date parsing and manipulation </w:t>
      </w:r>
    </w:p>
    <w:p w14:paraId="558DFBD9" w14:textId="77777777" w:rsidR="008C2A20" w:rsidRDefault="007F547B">
      <w:pPr>
        <w:numPr>
          <w:ilvl w:val="0"/>
          <w:numId w:val="14"/>
        </w:numPr>
        <w:ind w:right="439" w:hanging="360"/>
      </w:pPr>
      <w:proofErr w:type="spellStart"/>
      <w:r>
        <w:rPr>
          <w:color w:val="188038"/>
        </w:rPr>
        <w:t>os</w:t>
      </w:r>
      <w:proofErr w:type="spellEnd"/>
      <w:r>
        <w:t xml:space="preserve">: file path control for export </w:t>
      </w:r>
    </w:p>
    <w:p w14:paraId="43038F18" w14:textId="77777777" w:rsidR="008C2A20" w:rsidRDefault="007F547B">
      <w:pPr>
        <w:ind w:right="439"/>
      </w:pPr>
      <w:r>
        <w:t xml:space="preserve">The ETL process was carried out entirely within a single Python script that was organized into modular blocks to allow for reusability and future scalability. </w:t>
      </w:r>
    </w:p>
    <w:p w14:paraId="7A956EB2" w14:textId="77777777" w:rsidR="008C2A20" w:rsidRDefault="007F547B">
      <w:pPr>
        <w:spacing w:after="495" w:line="259" w:lineRule="auto"/>
        <w:ind w:left="0" w:right="0" w:firstLine="0"/>
        <w:jc w:val="left"/>
      </w:pPr>
      <w:r>
        <w:t xml:space="preserve"> </w:t>
      </w:r>
    </w:p>
    <w:p w14:paraId="51C4A0D8" w14:textId="77777777" w:rsidR="008C2A20" w:rsidRDefault="007F547B">
      <w:pPr>
        <w:pStyle w:val="Heading1"/>
        <w:ind w:left="-5"/>
      </w:pPr>
      <w:bookmarkStart w:id="16" w:name="_Toc57560"/>
      <w:r>
        <w:t xml:space="preserve">Section 6: Data Modelling and Star Schema Design </w:t>
      </w:r>
      <w:bookmarkEnd w:id="16"/>
    </w:p>
    <w:p w14:paraId="7F5B53CF" w14:textId="77777777" w:rsidR="008C2A20" w:rsidRDefault="007F547B">
      <w:pPr>
        <w:ind w:right="439"/>
      </w:pPr>
      <w:r>
        <w:t xml:space="preserve">The star schema emerged as the best data warehouse design because it provides simple structure and fast query </w:t>
      </w:r>
      <w:proofErr w:type="gramStart"/>
      <w:r>
        <w:t>performance  and</w:t>
      </w:r>
      <w:proofErr w:type="gramEnd"/>
      <w:r>
        <w:t xml:space="preserve"> excellent compatibility with Power BI tabular models. The structure separates facts (numerical measurements) </w:t>
      </w:r>
      <w:proofErr w:type="gramStart"/>
      <w:r>
        <w:t>from  dimensions</w:t>
      </w:r>
      <w:proofErr w:type="gramEnd"/>
      <w:r>
        <w:t xml:space="preserve"> (contextual descriptors), which enables efficient filtering, grouping, and slicing. </w:t>
      </w:r>
    </w:p>
    <w:p w14:paraId="6DAB2821" w14:textId="77777777" w:rsidR="008C2A20" w:rsidRDefault="007F547B">
      <w:pPr>
        <w:spacing w:after="317" w:line="259" w:lineRule="auto"/>
        <w:ind w:left="0" w:right="0" w:firstLine="0"/>
        <w:jc w:val="left"/>
      </w:pPr>
      <w:r>
        <w:t xml:space="preserve"> </w:t>
      </w:r>
    </w:p>
    <w:p w14:paraId="5A2F649C" w14:textId="77777777" w:rsidR="008C2A20" w:rsidRDefault="007F547B">
      <w:pPr>
        <w:pStyle w:val="Heading2"/>
        <w:ind w:left="-5"/>
      </w:pPr>
      <w:bookmarkStart w:id="17" w:name="_Toc57561"/>
      <w:r>
        <w:t xml:space="preserve">6.1 Overview of the Star Schema </w:t>
      </w:r>
      <w:bookmarkEnd w:id="17"/>
    </w:p>
    <w:p w14:paraId="6733A0CB" w14:textId="77777777" w:rsidR="008C2A20" w:rsidRDefault="007F547B">
      <w:pPr>
        <w:ind w:right="439"/>
      </w:pPr>
      <w:r>
        <w:t xml:space="preserve">The final schema consisted of: </w:t>
      </w:r>
    </w:p>
    <w:p w14:paraId="42AC69B5" w14:textId="77777777" w:rsidR="008C2A20" w:rsidRDefault="007F547B">
      <w:pPr>
        <w:numPr>
          <w:ilvl w:val="0"/>
          <w:numId w:val="15"/>
        </w:numPr>
        <w:spacing w:after="260" w:line="259" w:lineRule="auto"/>
        <w:ind w:right="220" w:hanging="360"/>
        <w:jc w:val="left"/>
      </w:pPr>
      <w:r>
        <w:t xml:space="preserve">One fact table: </w:t>
      </w:r>
      <w:proofErr w:type="spellStart"/>
      <w:r>
        <w:rPr>
          <w:color w:val="188038"/>
        </w:rPr>
        <w:t>FactStockMonthly</w:t>
      </w:r>
      <w:proofErr w:type="spellEnd"/>
      <w:r>
        <w:rPr>
          <w:color w:val="188038"/>
        </w:rPr>
        <w:t xml:space="preserve"> </w:t>
      </w:r>
    </w:p>
    <w:p w14:paraId="6B60160C" w14:textId="77777777" w:rsidR="008C2A20" w:rsidRDefault="007F547B">
      <w:pPr>
        <w:numPr>
          <w:ilvl w:val="0"/>
          <w:numId w:val="15"/>
        </w:numPr>
        <w:ind w:right="220" w:hanging="360"/>
        <w:jc w:val="left"/>
      </w:pPr>
      <w:proofErr w:type="gramStart"/>
      <w:r>
        <w:t>Two dimension</w:t>
      </w:r>
      <w:proofErr w:type="gramEnd"/>
      <w:r>
        <w:t xml:space="preserve"> tables: </w:t>
      </w:r>
      <w:proofErr w:type="spellStart"/>
      <w:r>
        <w:rPr>
          <w:color w:val="188038"/>
        </w:rPr>
        <w:t>DimCompany</w:t>
      </w:r>
      <w:proofErr w:type="spellEnd"/>
      <w:r>
        <w:t xml:space="preserve"> and </w:t>
      </w:r>
      <w:proofErr w:type="spellStart"/>
      <w:r>
        <w:rPr>
          <w:color w:val="188038"/>
        </w:rPr>
        <w:t>DimDate</w:t>
      </w:r>
      <w:proofErr w:type="spellEnd"/>
      <w:r>
        <w:rPr>
          <w:color w:val="188038"/>
        </w:rPr>
        <w:t xml:space="preserve"> </w:t>
      </w:r>
    </w:p>
    <w:p w14:paraId="603ACDA2" w14:textId="77777777" w:rsidR="008C2A20" w:rsidRDefault="007F547B">
      <w:pPr>
        <w:ind w:right="439"/>
      </w:pPr>
      <w:r>
        <w:t xml:space="preserve">The structure supports flexible business analysis, such as evaluating performance by sector, year, or economic condition. </w:t>
      </w:r>
    </w:p>
    <w:p w14:paraId="4AEFA2AE" w14:textId="77777777" w:rsidR="008C2A20" w:rsidRDefault="007F547B">
      <w:pPr>
        <w:spacing w:after="0" w:line="259" w:lineRule="auto"/>
        <w:ind w:left="0" w:right="0" w:firstLine="0"/>
        <w:jc w:val="left"/>
      </w:pPr>
      <w:r>
        <w:t xml:space="preserve"> </w:t>
      </w:r>
    </w:p>
    <w:p w14:paraId="6640DD74" w14:textId="77777777" w:rsidR="008C2A20" w:rsidRDefault="007F547B">
      <w:pPr>
        <w:pStyle w:val="Heading2"/>
        <w:spacing w:after="0"/>
        <w:ind w:left="-5"/>
      </w:pPr>
      <w:bookmarkStart w:id="18" w:name="_Toc57562"/>
      <w:r>
        <w:lastRenderedPageBreak/>
        <w:t>6.2 Entity Relationship Diagram</w:t>
      </w:r>
      <w:r>
        <w:rPr>
          <w:b w:val="0"/>
          <w:color w:val="434343"/>
        </w:rPr>
        <w:t xml:space="preserve"> </w:t>
      </w:r>
      <w:bookmarkEnd w:id="18"/>
    </w:p>
    <w:p w14:paraId="617C88B9" w14:textId="77777777" w:rsidR="008C2A20" w:rsidRDefault="007F547B">
      <w:pPr>
        <w:spacing w:after="154" w:line="259" w:lineRule="auto"/>
        <w:ind w:left="0" w:right="0" w:firstLine="0"/>
        <w:jc w:val="left"/>
      </w:pPr>
      <w:r>
        <w:rPr>
          <w:noProof/>
        </w:rPr>
        <w:drawing>
          <wp:inline distT="0" distB="0" distL="0" distR="0" wp14:anchorId="66A18E17" wp14:editId="5ED5020A">
            <wp:extent cx="5734050" cy="5191125"/>
            <wp:effectExtent l="0" t="0" r="0" b="0"/>
            <wp:docPr id="5184" name="Picture 5184"/>
            <wp:cNvGraphicFramePr/>
            <a:graphic xmlns:a="http://schemas.openxmlformats.org/drawingml/2006/main">
              <a:graphicData uri="http://schemas.openxmlformats.org/drawingml/2006/picture">
                <pic:pic xmlns:pic="http://schemas.openxmlformats.org/drawingml/2006/picture">
                  <pic:nvPicPr>
                    <pic:cNvPr id="5184" name="Picture 5184"/>
                    <pic:cNvPicPr/>
                  </pic:nvPicPr>
                  <pic:blipFill>
                    <a:blip r:embed="rId8"/>
                    <a:stretch>
                      <a:fillRect/>
                    </a:stretch>
                  </pic:blipFill>
                  <pic:spPr>
                    <a:xfrm>
                      <a:off x="0" y="0"/>
                      <a:ext cx="5734050" cy="5191125"/>
                    </a:xfrm>
                    <a:prstGeom prst="rect">
                      <a:avLst/>
                    </a:prstGeom>
                  </pic:spPr>
                </pic:pic>
              </a:graphicData>
            </a:graphic>
          </wp:inline>
        </w:drawing>
      </w:r>
    </w:p>
    <w:p w14:paraId="01961C65" w14:textId="77777777" w:rsidR="008C2A20" w:rsidRDefault="007F547B">
      <w:pPr>
        <w:spacing w:after="249" w:line="268" w:lineRule="auto"/>
        <w:ind w:left="2259" w:right="0"/>
        <w:jc w:val="left"/>
      </w:pPr>
      <w:r>
        <w:rPr>
          <w:i/>
        </w:rPr>
        <w:t xml:space="preserve">Figure 2 — Star Schema ERD for Fidelity BI Solution </w:t>
      </w:r>
    </w:p>
    <w:p w14:paraId="76CBF37A" w14:textId="77777777" w:rsidR="008C2A20" w:rsidRDefault="007F547B">
      <w:pPr>
        <w:spacing w:after="259" w:line="259" w:lineRule="auto"/>
        <w:ind w:left="0" w:right="0" w:firstLine="0"/>
        <w:jc w:val="left"/>
      </w:pPr>
      <w:r>
        <w:t xml:space="preserve"> </w:t>
      </w:r>
    </w:p>
    <w:p w14:paraId="094896A5" w14:textId="77777777" w:rsidR="008C2A20" w:rsidRDefault="007F547B">
      <w:pPr>
        <w:ind w:right="439"/>
      </w:pPr>
      <w:r>
        <w:t xml:space="preserve">The ERD shows: </w:t>
      </w:r>
    </w:p>
    <w:p w14:paraId="40C7F89B" w14:textId="77777777" w:rsidR="008C2A20" w:rsidRDefault="007F547B">
      <w:pPr>
        <w:numPr>
          <w:ilvl w:val="0"/>
          <w:numId w:val="16"/>
        </w:numPr>
        <w:spacing w:after="9"/>
        <w:ind w:right="881" w:hanging="360"/>
      </w:pPr>
      <w:r>
        <w:t>One-to-many relationships:</w:t>
      </w:r>
      <w:r>
        <w:rPr>
          <w:rFonts w:ascii="Arial" w:eastAsia="Arial" w:hAnsi="Arial" w:cs="Arial"/>
        </w:rPr>
        <w:t xml:space="preserve"> </w:t>
      </w:r>
    </w:p>
    <w:p w14:paraId="529922C8" w14:textId="77777777" w:rsidR="008C2A20" w:rsidRDefault="007F547B">
      <w:pPr>
        <w:spacing w:after="19" w:line="259" w:lineRule="auto"/>
        <w:ind w:left="720" w:right="0" w:firstLine="0"/>
        <w:jc w:val="left"/>
      </w:pPr>
      <w:r>
        <w:t xml:space="preserve"> </w:t>
      </w:r>
    </w:p>
    <w:p w14:paraId="57D82FA4" w14:textId="77777777" w:rsidR="008C2A20" w:rsidRDefault="007F547B">
      <w:pPr>
        <w:spacing w:after="20" w:line="259" w:lineRule="auto"/>
        <w:ind w:left="0" w:right="1433" w:firstLine="0"/>
        <w:jc w:val="center"/>
      </w:pPr>
      <w:r>
        <w:rPr>
          <w:rFonts w:ascii="Arial" w:eastAsia="Arial" w:hAnsi="Arial" w:cs="Arial"/>
        </w:rPr>
        <w:t xml:space="preserve">○ </w:t>
      </w:r>
      <w:proofErr w:type="spellStart"/>
      <w:r>
        <w:rPr>
          <w:color w:val="188038"/>
        </w:rPr>
        <w:t>DimCompany.CompanyKey</w:t>
      </w:r>
      <w:proofErr w:type="spellEnd"/>
      <w:r>
        <w:t xml:space="preserve"> </w:t>
      </w:r>
      <w:r>
        <w:rPr>
          <w:rFonts w:ascii="Arial" w:eastAsia="Arial" w:hAnsi="Arial" w:cs="Arial"/>
        </w:rPr>
        <w:t>→</w:t>
      </w:r>
      <w:r>
        <w:t xml:space="preserve"> </w:t>
      </w:r>
      <w:proofErr w:type="spellStart"/>
      <w:r>
        <w:rPr>
          <w:color w:val="188038"/>
        </w:rPr>
        <w:t>FactStockMonthly.CompanyKey</w:t>
      </w:r>
      <w:proofErr w:type="spellEnd"/>
      <w:r>
        <w:rPr>
          <w:color w:val="188038"/>
        </w:rPr>
        <w:t xml:space="preserve"> </w:t>
      </w:r>
    </w:p>
    <w:p w14:paraId="1BA89061" w14:textId="77777777" w:rsidR="008C2A20" w:rsidRDefault="007F547B">
      <w:pPr>
        <w:spacing w:after="21" w:line="259" w:lineRule="auto"/>
        <w:ind w:left="1090" w:right="0"/>
        <w:jc w:val="left"/>
      </w:pPr>
      <w:r>
        <w:rPr>
          <w:rFonts w:ascii="Arial" w:eastAsia="Arial" w:hAnsi="Arial" w:cs="Arial"/>
        </w:rPr>
        <w:t xml:space="preserve">○ </w:t>
      </w:r>
      <w:proofErr w:type="spellStart"/>
      <w:r>
        <w:rPr>
          <w:color w:val="188038"/>
        </w:rPr>
        <w:t>DimDate.DateKey</w:t>
      </w:r>
      <w:proofErr w:type="spellEnd"/>
      <w:r>
        <w:t xml:space="preserve"> </w:t>
      </w:r>
      <w:r>
        <w:rPr>
          <w:rFonts w:ascii="Arial" w:eastAsia="Arial" w:hAnsi="Arial" w:cs="Arial"/>
        </w:rPr>
        <w:t>→</w:t>
      </w:r>
      <w:r>
        <w:t xml:space="preserve"> </w:t>
      </w:r>
      <w:proofErr w:type="spellStart"/>
      <w:r>
        <w:rPr>
          <w:color w:val="188038"/>
        </w:rPr>
        <w:t>FactStockMonthly.DateKey</w:t>
      </w:r>
      <w:proofErr w:type="spellEnd"/>
      <w:r>
        <w:rPr>
          <w:rFonts w:ascii="Arial" w:eastAsia="Arial" w:hAnsi="Arial" w:cs="Arial"/>
          <w:color w:val="188038"/>
        </w:rPr>
        <w:t xml:space="preserve"> </w:t>
      </w:r>
    </w:p>
    <w:p w14:paraId="2CB79EFF" w14:textId="77777777" w:rsidR="008C2A20" w:rsidRDefault="007F547B">
      <w:pPr>
        <w:spacing w:after="19" w:line="259" w:lineRule="auto"/>
        <w:ind w:left="1440" w:right="0" w:firstLine="0"/>
        <w:jc w:val="left"/>
      </w:pPr>
      <w:r>
        <w:rPr>
          <w:color w:val="188038"/>
        </w:rPr>
        <w:t xml:space="preserve"> </w:t>
      </w:r>
    </w:p>
    <w:p w14:paraId="1B5B7A99" w14:textId="77777777" w:rsidR="008C2A20" w:rsidRDefault="007F547B">
      <w:pPr>
        <w:numPr>
          <w:ilvl w:val="0"/>
          <w:numId w:val="16"/>
        </w:numPr>
        <w:spacing w:after="259" w:line="259" w:lineRule="auto"/>
        <w:ind w:right="881" w:hanging="360"/>
      </w:pPr>
      <w:r>
        <w:t xml:space="preserve">All primary keys are surrogate integer keys, optimised for joins in SQL and Power BI. </w:t>
      </w:r>
    </w:p>
    <w:p w14:paraId="1F7B10E2" w14:textId="77777777" w:rsidR="008C2A20" w:rsidRDefault="007F547B">
      <w:pPr>
        <w:spacing w:after="0" w:line="259" w:lineRule="auto"/>
        <w:ind w:left="0" w:right="0" w:firstLine="0"/>
        <w:jc w:val="left"/>
      </w:pPr>
      <w:r>
        <w:t xml:space="preserve"> </w:t>
      </w:r>
    </w:p>
    <w:p w14:paraId="4F4364A6" w14:textId="77777777" w:rsidR="008C2A20" w:rsidRDefault="007F547B">
      <w:pPr>
        <w:pStyle w:val="Heading2"/>
        <w:ind w:left="-5"/>
      </w:pPr>
      <w:bookmarkStart w:id="19" w:name="_Toc57563"/>
      <w:r>
        <w:t xml:space="preserve">6.3 Table Descriptions </w:t>
      </w:r>
      <w:bookmarkEnd w:id="19"/>
    </w:p>
    <w:p w14:paraId="67791722" w14:textId="77777777" w:rsidR="008C2A20" w:rsidRDefault="007F547B">
      <w:pPr>
        <w:pStyle w:val="Heading4"/>
        <w:ind w:left="-5"/>
      </w:pPr>
      <w:proofErr w:type="spellStart"/>
      <w:r>
        <w:t>FactStockMonthly</w:t>
      </w:r>
      <w:proofErr w:type="spellEnd"/>
      <w:r>
        <w:rPr>
          <w:u w:val="none"/>
        </w:rPr>
        <w:t xml:space="preserve"> </w:t>
      </w:r>
    </w:p>
    <w:p w14:paraId="2B796399" w14:textId="77777777" w:rsidR="008C2A20" w:rsidRDefault="007F547B">
      <w:pPr>
        <w:spacing w:after="0"/>
        <w:ind w:right="439"/>
      </w:pPr>
      <w:r>
        <w:t xml:space="preserve">This table holds monthly stock performance metrics, aggregated from daily data. </w:t>
      </w:r>
    </w:p>
    <w:tbl>
      <w:tblPr>
        <w:tblStyle w:val="TableGrid"/>
        <w:tblW w:w="8783" w:type="dxa"/>
        <w:tblInd w:w="8" w:type="dxa"/>
        <w:tblCellMar>
          <w:left w:w="115" w:type="dxa"/>
          <w:right w:w="115" w:type="dxa"/>
        </w:tblCellMar>
        <w:tblLook w:val="04A0" w:firstRow="1" w:lastRow="0" w:firstColumn="1" w:lastColumn="0" w:noHBand="0" w:noVBand="1"/>
      </w:tblPr>
      <w:tblGrid>
        <w:gridCol w:w="2703"/>
        <w:gridCol w:w="1440"/>
        <w:gridCol w:w="4640"/>
      </w:tblGrid>
      <w:tr w:rsidR="008C2A20" w14:paraId="00E69609" w14:textId="77777777">
        <w:trPr>
          <w:trHeight w:val="540"/>
        </w:trPr>
        <w:tc>
          <w:tcPr>
            <w:tcW w:w="2703"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6AEE9BCD" w14:textId="77777777" w:rsidR="008C2A20" w:rsidRDefault="007F547B">
            <w:pPr>
              <w:spacing w:after="0" w:line="259" w:lineRule="auto"/>
              <w:ind w:left="0" w:right="17" w:firstLine="0"/>
              <w:jc w:val="center"/>
            </w:pPr>
            <w:r>
              <w:rPr>
                <w:b/>
                <w:color w:val="FFFFFF"/>
              </w:rPr>
              <w:lastRenderedPageBreak/>
              <w:t xml:space="preserve">Column Name </w:t>
            </w:r>
          </w:p>
        </w:tc>
        <w:tc>
          <w:tcPr>
            <w:tcW w:w="144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5EDC02A7" w14:textId="77777777" w:rsidR="008C2A20" w:rsidRDefault="007F547B">
            <w:pPr>
              <w:spacing w:after="0" w:line="259" w:lineRule="auto"/>
              <w:ind w:left="0" w:right="5" w:firstLine="0"/>
              <w:jc w:val="center"/>
            </w:pPr>
            <w:r>
              <w:rPr>
                <w:b/>
                <w:color w:val="FFFFFF"/>
              </w:rPr>
              <w:t xml:space="preserve">Type </w:t>
            </w:r>
          </w:p>
        </w:tc>
        <w:tc>
          <w:tcPr>
            <w:tcW w:w="464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395EB22F" w14:textId="77777777" w:rsidR="008C2A20" w:rsidRDefault="007F547B">
            <w:pPr>
              <w:spacing w:after="0" w:line="259" w:lineRule="auto"/>
              <w:ind w:left="5" w:right="0" w:firstLine="0"/>
              <w:jc w:val="center"/>
            </w:pPr>
            <w:r>
              <w:rPr>
                <w:b/>
                <w:color w:val="FFFFFF"/>
              </w:rPr>
              <w:t xml:space="preserve">Description </w:t>
            </w:r>
          </w:p>
        </w:tc>
      </w:tr>
      <w:tr w:rsidR="008C2A20" w14:paraId="59B849FA" w14:textId="77777777">
        <w:trPr>
          <w:trHeight w:val="538"/>
        </w:trPr>
        <w:tc>
          <w:tcPr>
            <w:tcW w:w="2703" w:type="dxa"/>
            <w:tcBorders>
              <w:top w:val="single" w:sz="8" w:space="0" w:color="000000"/>
              <w:left w:val="single" w:sz="8" w:space="0" w:color="000000"/>
              <w:bottom w:val="single" w:sz="8" w:space="0" w:color="000000"/>
              <w:right w:val="single" w:sz="8" w:space="0" w:color="000000"/>
            </w:tcBorders>
            <w:vAlign w:val="center"/>
          </w:tcPr>
          <w:p w14:paraId="29168C65" w14:textId="77777777" w:rsidR="008C2A20" w:rsidRDefault="007F547B">
            <w:pPr>
              <w:spacing w:after="0" w:line="259" w:lineRule="auto"/>
              <w:ind w:left="0" w:right="17" w:firstLine="0"/>
              <w:jc w:val="center"/>
            </w:pPr>
            <w:proofErr w:type="spellStart"/>
            <w:r>
              <w:t>CompanyKey</w:t>
            </w:r>
            <w:proofErr w:type="spellEnd"/>
            <w: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tcPr>
          <w:p w14:paraId="6114D036" w14:textId="77777777" w:rsidR="008C2A20" w:rsidRDefault="007F547B">
            <w:pPr>
              <w:spacing w:after="0" w:line="259" w:lineRule="auto"/>
              <w:ind w:left="0" w:right="5" w:firstLine="0"/>
              <w:jc w:val="center"/>
            </w:pPr>
            <w:r>
              <w:t xml:space="preserve">INT </w:t>
            </w:r>
          </w:p>
        </w:tc>
        <w:tc>
          <w:tcPr>
            <w:tcW w:w="4640" w:type="dxa"/>
            <w:tcBorders>
              <w:top w:val="single" w:sz="8" w:space="0" w:color="000000"/>
              <w:left w:val="single" w:sz="8" w:space="0" w:color="000000"/>
              <w:bottom w:val="single" w:sz="8" w:space="0" w:color="000000"/>
              <w:right w:val="single" w:sz="8" w:space="0" w:color="000000"/>
            </w:tcBorders>
            <w:vAlign w:val="center"/>
          </w:tcPr>
          <w:p w14:paraId="7684A4EF" w14:textId="77777777" w:rsidR="008C2A20" w:rsidRDefault="007F547B">
            <w:pPr>
              <w:spacing w:after="0" w:line="259" w:lineRule="auto"/>
              <w:ind w:left="5" w:right="0" w:firstLine="0"/>
              <w:jc w:val="center"/>
            </w:pPr>
            <w:r>
              <w:t xml:space="preserve">Foreign key to </w:t>
            </w:r>
            <w:proofErr w:type="spellStart"/>
            <w:r>
              <w:rPr>
                <w:color w:val="188038"/>
              </w:rPr>
              <w:t>DimCompany</w:t>
            </w:r>
            <w:proofErr w:type="spellEnd"/>
            <w:r>
              <w:t xml:space="preserve"> </w:t>
            </w:r>
          </w:p>
        </w:tc>
      </w:tr>
      <w:tr w:rsidR="008C2A20" w14:paraId="0AAD86B0" w14:textId="77777777">
        <w:trPr>
          <w:trHeight w:val="540"/>
        </w:trPr>
        <w:tc>
          <w:tcPr>
            <w:tcW w:w="2703" w:type="dxa"/>
            <w:tcBorders>
              <w:top w:val="single" w:sz="8" w:space="0" w:color="000000"/>
              <w:left w:val="single" w:sz="8" w:space="0" w:color="000000"/>
              <w:bottom w:val="single" w:sz="8" w:space="0" w:color="000000"/>
              <w:right w:val="single" w:sz="8" w:space="0" w:color="000000"/>
            </w:tcBorders>
            <w:vAlign w:val="center"/>
          </w:tcPr>
          <w:p w14:paraId="0DFADE0E" w14:textId="77777777" w:rsidR="008C2A20" w:rsidRDefault="007F547B">
            <w:pPr>
              <w:spacing w:after="0" w:line="259" w:lineRule="auto"/>
              <w:ind w:left="0" w:right="17" w:firstLine="0"/>
              <w:jc w:val="center"/>
            </w:pPr>
            <w:proofErr w:type="spellStart"/>
            <w:r>
              <w:t>DateKey</w:t>
            </w:r>
            <w:proofErr w:type="spellEnd"/>
            <w: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tcPr>
          <w:p w14:paraId="6C257794" w14:textId="77777777" w:rsidR="008C2A20" w:rsidRDefault="007F547B">
            <w:pPr>
              <w:spacing w:after="0" w:line="259" w:lineRule="auto"/>
              <w:ind w:left="0" w:right="5" w:firstLine="0"/>
              <w:jc w:val="center"/>
            </w:pPr>
            <w:r>
              <w:t xml:space="preserve">INT </w:t>
            </w:r>
          </w:p>
        </w:tc>
        <w:tc>
          <w:tcPr>
            <w:tcW w:w="4640" w:type="dxa"/>
            <w:tcBorders>
              <w:top w:val="single" w:sz="8" w:space="0" w:color="000000"/>
              <w:left w:val="single" w:sz="8" w:space="0" w:color="000000"/>
              <w:bottom w:val="single" w:sz="8" w:space="0" w:color="000000"/>
              <w:right w:val="single" w:sz="8" w:space="0" w:color="000000"/>
            </w:tcBorders>
            <w:vAlign w:val="center"/>
          </w:tcPr>
          <w:p w14:paraId="74696751" w14:textId="77777777" w:rsidR="008C2A20" w:rsidRDefault="007F547B">
            <w:pPr>
              <w:spacing w:after="0" w:line="259" w:lineRule="auto"/>
              <w:ind w:left="5" w:right="0" w:firstLine="0"/>
              <w:jc w:val="center"/>
            </w:pPr>
            <w:r>
              <w:t xml:space="preserve">Foreign key to </w:t>
            </w:r>
            <w:proofErr w:type="spellStart"/>
            <w:r>
              <w:rPr>
                <w:color w:val="188038"/>
              </w:rPr>
              <w:t>DimDate</w:t>
            </w:r>
            <w:proofErr w:type="spellEnd"/>
            <w:r>
              <w:t xml:space="preserve"> </w:t>
            </w:r>
          </w:p>
        </w:tc>
      </w:tr>
      <w:tr w:rsidR="008C2A20" w14:paraId="2DBBAA3B" w14:textId="77777777">
        <w:trPr>
          <w:trHeight w:val="520"/>
        </w:trPr>
        <w:tc>
          <w:tcPr>
            <w:tcW w:w="2703" w:type="dxa"/>
            <w:tcBorders>
              <w:top w:val="single" w:sz="8" w:space="0" w:color="000000"/>
              <w:left w:val="single" w:sz="8" w:space="0" w:color="000000"/>
              <w:bottom w:val="single" w:sz="8" w:space="0" w:color="000000"/>
              <w:right w:val="single" w:sz="8" w:space="0" w:color="000000"/>
            </w:tcBorders>
            <w:vAlign w:val="center"/>
          </w:tcPr>
          <w:p w14:paraId="3E14D5F2" w14:textId="77777777" w:rsidR="008C2A20" w:rsidRDefault="007F547B">
            <w:pPr>
              <w:spacing w:after="0" w:line="259" w:lineRule="auto"/>
              <w:ind w:left="0" w:right="17" w:firstLine="0"/>
              <w:jc w:val="center"/>
            </w:pPr>
            <w:proofErr w:type="spellStart"/>
            <w:r>
              <w:t>month_end_close</w:t>
            </w:r>
            <w:proofErr w:type="spellEnd"/>
            <w: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tcPr>
          <w:p w14:paraId="40606DBF" w14:textId="77777777" w:rsidR="008C2A20" w:rsidRDefault="007F547B">
            <w:pPr>
              <w:spacing w:after="0" w:line="259" w:lineRule="auto"/>
              <w:ind w:left="0" w:right="5" w:firstLine="0"/>
              <w:jc w:val="center"/>
            </w:pPr>
            <w:r>
              <w:t xml:space="preserve">FLOAT </w:t>
            </w:r>
          </w:p>
        </w:tc>
        <w:tc>
          <w:tcPr>
            <w:tcW w:w="4640" w:type="dxa"/>
            <w:tcBorders>
              <w:top w:val="single" w:sz="8" w:space="0" w:color="000000"/>
              <w:left w:val="single" w:sz="8" w:space="0" w:color="000000"/>
              <w:bottom w:val="single" w:sz="8" w:space="0" w:color="000000"/>
              <w:right w:val="single" w:sz="8" w:space="0" w:color="000000"/>
            </w:tcBorders>
            <w:vAlign w:val="center"/>
          </w:tcPr>
          <w:p w14:paraId="4E5F0124" w14:textId="77777777" w:rsidR="008C2A20" w:rsidRDefault="007F547B">
            <w:pPr>
              <w:spacing w:after="0" w:line="259" w:lineRule="auto"/>
              <w:ind w:left="5" w:right="0" w:firstLine="0"/>
              <w:jc w:val="center"/>
            </w:pPr>
            <w:r>
              <w:t xml:space="preserve">Closing price on last trading day of month </w:t>
            </w:r>
          </w:p>
        </w:tc>
      </w:tr>
      <w:tr w:rsidR="008C2A20" w14:paraId="5F1AD61B" w14:textId="77777777">
        <w:trPr>
          <w:trHeight w:val="540"/>
        </w:trPr>
        <w:tc>
          <w:tcPr>
            <w:tcW w:w="2703" w:type="dxa"/>
            <w:tcBorders>
              <w:top w:val="single" w:sz="8" w:space="0" w:color="000000"/>
              <w:left w:val="single" w:sz="8" w:space="0" w:color="000000"/>
              <w:bottom w:val="single" w:sz="8" w:space="0" w:color="000000"/>
              <w:right w:val="single" w:sz="8" w:space="0" w:color="000000"/>
            </w:tcBorders>
            <w:vAlign w:val="center"/>
          </w:tcPr>
          <w:p w14:paraId="137E5F58" w14:textId="77777777" w:rsidR="008C2A20" w:rsidRDefault="007F547B">
            <w:pPr>
              <w:spacing w:after="0" w:line="259" w:lineRule="auto"/>
              <w:ind w:left="0" w:right="17" w:firstLine="0"/>
              <w:jc w:val="center"/>
            </w:pPr>
            <w:proofErr w:type="spellStart"/>
            <w:r>
              <w:t>monthly_high</w:t>
            </w:r>
            <w:proofErr w:type="spellEnd"/>
            <w: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tcPr>
          <w:p w14:paraId="721C7880" w14:textId="77777777" w:rsidR="008C2A20" w:rsidRDefault="007F547B">
            <w:pPr>
              <w:spacing w:after="0" w:line="259" w:lineRule="auto"/>
              <w:ind w:left="0" w:right="5" w:firstLine="0"/>
              <w:jc w:val="center"/>
            </w:pPr>
            <w:r>
              <w:t xml:space="preserve">FLOAT </w:t>
            </w:r>
          </w:p>
        </w:tc>
        <w:tc>
          <w:tcPr>
            <w:tcW w:w="4640" w:type="dxa"/>
            <w:tcBorders>
              <w:top w:val="single" w:sz="8" w:space="0" w:color="000000"/>
              <w:left w:val="single" w:sz="8" w:space="0" w:color="000000"/>
              <w:bottom w:val="single" w:sz="8" w:space="0" w:color="000000"/>
              <w:right w:val="single" w:sz="8" w:space="0" w:color="000000"/>
            </w:tcBorders>
            <w:vAlign w:val="center"/>
          </w:tcPr>
          <w:p w14:paraId="4947B5EB" w14:textId="77777777" w:rsidR="008C2A20" w:rsidRDefault="007F547B">
            <w:pPr>
              <w:spacing w:after="0" w:line="259" w:lineRule="auto"/>
              <w:ind w:left="5" w:right="0" w:firstLine="0"/>
              <w:jc w:val="center"/>
            </w:pPr>
            <w:r>
              <w:t xml:space="preserve">Highest price in the month </w:t>
            </w:r>
          </w:p>
        </w:tc>
      </w:tr>
      <w:tr w:rsidR="008C2A20" w14:paraId="5A3965F8" w14:textId="77777777">
        <w:trPr>
          <w:trHeight w:val="540"/>
        </w:trPr>
        <w:tc>
          <w:tcPr>
            <w:tcW w:w="2703" w:type="dxa"/>
            <w:tcBorders>
              <w:top w:val="single" w:sz="8" w:space="0" w:color="000000"/>
              <w:left w:val="single" w:sz="8" w:space="0" w:color="000000"/>
              <w:bottom w:val="single" w:sz="8" w:space="0" w:color="000000"/>
              <w:right w:val="single" w:sz="8" w:space="0" w:color="000000"/>
            </w:tcBorders>
            <w:vAlign w:val="center"/>
          </w:tcPr>
          <w:p w14:paraId="2394AC91" w14:textId="77777777" w:rsidR="008C2A20" w:rsidRDefault="007F547B">
            <w:pPr>
              <w:spacing w:after="0" w:line="259" w:lineRule="auto"/>
              <w:ind w:left="0" w:right="17" w:firstLine="0"/>
              <w:jc w:val="center"/>
            </w:pPr>
            <w:proofErr w:type="spellStart"/>
            <w:r>
              <w:t>monthly_low</w:t>
            </w:r>
            <w:proofErr w:type="spellEnd"/>
            <w: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tcPr>
          <w:p w14:paraId="19ACF997" w14:textId="77777777" w:rsidR="008C2A20" w:rsidRDefault="007F547B">
            <w:pPr>
              <w:spacing w:after="0" w:line="259" w:lineRule="auto"/>
              <w:ind w:left="0" w:right="5" w:firstLine="0"/>
              <w:jc w:val="center"/>
            </w:pPr>
            <w:r>
              <w:t xml:space="preserve">FLOAT </w:t>
            </w:r>
          </w:p>
        </w:tc>
        <w:tc>
          <w:tcPr>
            <w:tcW w:w="4640" w:type="dxa"/>
            <w:tcBorders>
              <w:top w:val="single" w:sz="8" w:space="0" w:color="000000"/>
              <w:left w:val="single" w:sz="8" w:space="0" w:color="000000"/>
              <w:bottom w:val="single" w:sz="8" w:space="0" w:color="000000"/>
              <w:right w:val="single" w:sz="8" w:space="0" w:color="000000"/>
            </w:tcBorders>
            <w:vAlign w:val="center"/>
          </w:tcPr>
          <w:p w14:paraId="1BEFD134" w14:textId="77777777" w:rsidR="008C2A20" w:rsidRDefault="007F547B">
            <w:pPr>
              <w:spacing w:after="0" w:line="259" w:lineRule="auto"/>
              <w:ind w:left="5" w:right="0" w:firstLine="0"/>
              <w:jc w:val="center"/>
            </w:pPr>
            <w:r>
              <w:t xml:space="preserve">Lowest price in the month </w:t>
            </w:r>
          </w:p>
        </w:tc>
      </w:tr>
      <w:tr w:rsidR="008C2A20" w14:paraId="70EB35DF" w14:textId="77777777">
        <w:trPr>
          <w:trHeight w:val="520"/>
        </w:trPr>
        <w:tc>
          <w:tcPr>
            <w:tcW w:w="2703" w:type="dxa"/>
            <w:tcBorders>
              <w:top w:val="single" w:sz="8" w:space="0" w:color="000000"/>
              <w:left w:val="single" w:sz="8" w:space="0" w:color="000000"/>
              <w:bottom w:val="single" w:sz="8" w:space="0" w:color="000000"/>
              <w:right w:val="single" w:sz="8" w:space="0" w:color="000000"/>
            </w:tcBorders>
            <w:vAlign w:val="center"/>
          </w:tcPr>
          <w:p w14:paraId="6709D021" w14:textId="77777777" w:rsidR="008C2A20" w:rsidRDefault="007F547B">
            <w:pPr>
              <w:spacing w:after="0" w:line="259" w:lineRule="auto"/>
              <w:ind w:left="0" w:right="17" w:firstLine="0"/>
              <w:jc w:val="center"/>
            </w:pPr>
            <w:proofErr w:type="spellStart"/>
            <w:r>
              <w:t>total_volume</w:t>
            </w:r>
            <w:proofErr w:type="spellEnd"/>
            <w: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tcPr>
          <w:p w14:paraId="7E82778C" w14:textId="77777777" w:rsidR="008C2A20" w:rsidRDefault="007F547B">
            <w:pPr>
              <w:spacing w:after="0" w:line="259" w:lineRule="auto"/>
              <w:ind w:left="0" w:right="5" w:firstLine="0"/>
              <w:jc w:val="center"/>
            </w:pPr>
            <w:r>
              <w:t xml:space="preserve">BIGINT </w:t>
            </w:r>
          </w:p>
        </w:tc>
        <w:tc>
          <w:tcPr>
            <w:tcW w:w="4640" w:type="dxa"/>
            <w:tcBorders>
              <w:top w:val="single" w:sz="8" w:space="0" w:color="000000"/>
              <w:left w:val="single" w:sz="8" w:space="0" w:color="000000"/>
              <w:bottom w:val="single" w:sz="8" w:space="0" w:color="000000"/>
              <w:right w:val="single" w:sz="8" w:space="0" w:color="000000"/>
            </w:tcBorders>
            <w:vAlign w:val="center"/>
          </w:tcPr>
          <w:p w14:paraId="6E3135D6" w14:textId="77777777" w:rsidR="008C2A20" w:rsidRDefault="007F547B">
            <w:pPr>
              <w:spacing w:after="0" w:line="259" w:lineRule="auto"/>
              <w:ind w:left="5" w:right="0" w:firstLine="0"/>
              <w:jc w:val="center"/>
            </w:pPr>
            <w:r>
              <w:t xml:space="preserve">Total volume traded during the month </w:t>
            </w:r>
          </w:p>
        </w:tc>
      </w:tr>
      <w:tr w:rsidR="008C2A20" w14:paraId="6BDEB330" w14:textId="77777777">
        <w:trPr>
          <w:trHeight w:val="540"/>
        </w:trPr>
        <w:tc>
          <w:tcPr>
            <w:tcW w:w="2703" w:type="dxa"/>
            <w:tcBorders>
              <w:top w:val="single" w:sz="8" w:space="0" w:color="000000"/>
              <w:left w:val="single" w:sz="8" w:space="0" w:color="000000"/>
              <w:bottom w:val="single" w:sz="8" w:space="0" w:color="000000"/>
              <w:right w:val="single" w:sz="8" w:space="0" w:color="000000"/>
            </w:tcBorders>
            <w:vAlign w:val="center"/>
          </w:tcPr>
          <w:p w14:paraId="0A7E91D8" w14:textId="77777777" w:rsidR="008C2A20" w:rsidRDefault="007F547B">
            <w:pPr>
              <w:spacing w:after="0" w:line="259" w:lineRule="auto"/>
              <w:ind w:left="0" w:right="17" w:firstLine="0"/>
              <w:jc w:val="center"/>
            </w:pPr>
            <w:proofErr w:type="spellStart"/>
            <w:r>
              <w:t>monthly_return</w:t>
            </w:r>
            <w:proofErr w:type="spellEnd"/>
            <w: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tcPr>
          <w:p w14:paraId="34ADB940" w14:textId="77777777" w:rsidR="008C2A20" w:rsidRDefault="007F547B">
            <w:pPr>
              <w:spacing w:after="0" w:line="259" w:lineRule="auto"/>
              <w:ind w:left="0" w:right="5" w:firstLine="0"/>
              <w:jc w:val="center"/>
            </w:pPr>
            <w:r>
              <w:t xml:space="preserve">FLOAT </w:t>
            </w:r>
          </w:p>
        </w:tc>
        <w:tc>
          <w:tcPr>
            <w:tcW w:w="4640" w:type="dxa"/>
            <w:tcBorders>
              <w:top w:val="single" w:sz="8" w:space="0" w:color="000000"/>
              <w:left w:val="single" w:sz="8" w:space="0" w:color="000000"/>
              <w:bottom w:val="single" w:sz="8" w:space="0" w:color="000000"/>
              <w:right w:val="single" w:sz="8" w:space="0" w:color="000000"/>
            </w:tcBorders>
            <w:vAlign w:val="center"/>
          </w:tcPr>
          <w:p w14:paraId="07A8A56B" w14:textId="77777777" w:rsidR="008C2A20" w:rsidRDefault="007F547B">
            <w:pPr>
              <w:spacing w:after="0" w:line="259" w:lineRule="auto"/>
              <w:ind w:left="5" w:right="0" w:firstLine="0"/>
              <w:jc w:val="center"/>
            </w:pPr>
            <w:r>
              <w:t xml:space="preserve">% change from previous month close </w:t>
            </w:r>
          </w:p>
        </w:tc>
      </w:tr>
    </w:tbl>
    <w:p w14:paraId="598D36EA" w14:textId="77777777" w:rsidR="008C2A20" w:rsidRDefault="007F547B">
      <w:pPr>
        <w:spacing w:after="278" w:line="259" w:lineRule="auto"/>
        <w:ind w:left="0" w:right="0" w:firstLine="0"/>
        <w:jc w:val="left"/>
      </w:pPr>
      <w:r>
        <w:t xml:space="preserve"> </w:t>
      </w:r>
    </w:p>
    <w:p w14:paraId="1980A03A" w14:textId="77777777" w:rsidR="008C2A20" w:rsidRDefault="007F547B">
      <w:pPr>
        <w:pStyle w:val="Heading4"/>
        <w:ind w:left="-5"/>
      </w:pPr>
      <w:proofErr w:type="spellStart"/>
      <w:r>
        <w:t>DimCompany</w:t>
      </w:r>
      <w:proofErr w:type="spellEnd"/>
      <w:r>
        <w:rPr>
          <w:u w:val="none"/>
        </w:rPr>
        <w:t xml:space="preserve"> </w:t>
      </w:r>
    </w:p>
    <w:p w14:paraId="768F9627" w14:textId="77777777" w:rsidR="008C2A20" w:rsidRDefault="007F547B">
      <w:pPr>
        <w:spacing w:after="0"/>
        <w:ind w:right="439"/>
      </w:pPr>
      <w:r>
        <w:t xml:space="preserve">Contains company-level metadata used for contextual filtering. </w:t>
      </w:r>
    </w:p>
    <w:tbl>
      <w:tblPr>
        <w:tblStyle w:val="TableGrid"/>
        <w:tblW w:w="9163" w:type="dxa"/>
        <w:tblInd w:w="8" w:type="dxa"/>
        <w:tblCellMar>
          <w:left w:w="115" w:type="dxa"/>
          <w:right w:w="115" w:type="dxa"/>
        </w:tblCellMar>
        <w:tblLook w:val="04A0" w:firstRow="1" w:lastRow="0" w:firstColumn="1" w:lastColumn="0" w:noHBand="0" w:noVBand="1"/>
      </w:tblPr>
      <w:tblGrid>
        <w:gridCol w:w="2863"/>
        <w:gridCol w:w="2120"/>
        <w:gridCol w:w="4180"/>
      </w:tblGrid>
      <w:tr w:rsidR="008C2A20" w14:paraId="2542D679" w14:textId="77777777">
        <w:trPr>
          <w:trHeight w:val="540"/>
        </w:trPr>
        <w:tc>
          <w:tcPr>
            <w:tcW w:w="2863"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7D804223" w14:textId="77777777" w:rsidR="008C2A20" w:rsidRDefault="007F547B">
            <w:pPr>
              <w:spacing w:after="0" w:line="259" w:lineRule="auto"/>
              <w:ind w:left="0" w:right="12" w:firstLine="0"/>
              <w:jc w:val="center"/>
            </w:pPr>
            <w:r>
              <w:rPr>
                <w:b/>
                <w:color w:val="FFFFFF"/>
              </w:rPr>
              <w:t xml:space="preserve">Column Name </w:t>
            </w:r>
          </w:p>
        </w:tc>
        <w:tc>
          <w:tcPr>
            <w:tcW w:w="212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3C762F2D" w14:textId="77777777" w:rsidR="008C2A20" w:rsidRDefault="007F547B">
            <w:pPr>
              <w:spacing w:after="0" w:line="259" w:lineRule="auto"/>
              <w:ind w:left="0" w:right="0" w:firstLine="0"/>
              <w:jc w:val="center"/>
            </w:pPr>
            <w:r>
              <w:rPr>
                <w:b/>
                <w:color w:val="FFFFFF"/>
              </w:rPr>
              <w:t xml:space="preserve">Type </w:t>
            </w:r>
          </w:p>
        </w:tc>
        <w:tc>
          <w:tcPr>
            <w:tcW w:w="418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1CFCB1EF" w14:textId="77777777" w:rsidR="008C2A20" w:rsidRDefault="007F547B">
            <w:pPr>
              <w:spacing w:after="0" w:line="259" w:lineRule="auto"/>
              <w:ind w:left="0" w:right="0" w:firstLine="0"/>
              <w:jc w:val="center"/>
            </w:pPr>
            <w:r>
              <w:rPr>
                <w:b/>
                <w:color w:val="FFFFFF"/>
              </w:rPr>
              <w:t xml:space="preserve">Description </w:t>
            </w:r>
          </w:p>
        </w:tc>
      </w:tr>
      <w:tr w:rsidR="008C2A20" w14:paraId="3F913606" w14:textId="77777777">
        <w:trPr>
          <w:trHeight w:val="538"/>
        </w:trPr>
        <w:tc>
          <w:tcPr>
            <w:tcW w:w="2863" w:type="dxa"/>
            <w:tcBorders>
              <w:top w:val="single" w:sz="8" w:space="0" w:color="000000"/>
              <w:left w:val="single" w:sz="8" w:space="0" w:color="000000"/>
              <w:bottom w:val="single" w:sz="8" w:space="0" w:color="000000"/>
              <w:right w:val="single" w:sz="8" w:space="0" w:color="000000"/>
            </w:tcBorders>
            <w:vAlign w:val="center"/>
          </w:tcPr>
          <w:p w14:paraId="102A9FB9" w14:textId="77777777" w:rsidR="008C2A20" w:rsidRDefault="007F547B">
            <w:pPr>
              <w:spacing w:after="0" w:line="259" w:lineRule="auto"/>
              <w:ind w:left="0" w:right="12" w:firstLine="0"/>
              <w:jc w:val="center"/>
            </w:pPr>
            <w:proofErr w:type="spellStart"/>
            <w:r>
              <w:t>CompanyKey</w:t>
            </w:r>
            <w:proofErr w:type="spellEnd"/>
            <w:r>
              <w:t xml:space="preserve"> </w:t>
            </w:r>
          </w:p>
        </w:tc>
        <w:tc>
          <w:tcPr>
            <w:tcW w:w="2120" w:type="dxa"/>
            <w:tcBorders>
              <w:top w:val="single" w:sz="8" w:space="0" w:color="000000"/>
              <w:left w:val="single" w:sz="8" w:space="0" w:color="000000"/>
              <w:bottom w:val="single" w:sz="8" w:space="0" w:color="000000"/>
              <w:right w:val="single" w:sz="8" w:space="0" w:color="000000"/>
            </w:tcBorders>
            <w:vAlign w:val="center"/>
          </w:tcPr>
          <w:p w14:paraId="4E3E45C9" w14:textId="77777777" w:rsidR="008C2A20" w:rsidRDefault="007F547B">
            <w:pPr>
              <w:spacing w:after="0" w:line="259" w:lineRule="auto"/>
              <w:ind w:left="0" w:right="0" w:firstLine="0"/>
              <w:jc w:val="center"/>
            </w:pPr>
            <w:r>
              <w:t xml:space="preserve">INT </w:t>
            </w:r>
          </w:p>
        </w:tc>
        <w:tc>
          <w:tcPr>
            <w:tcW w:w="4180" w:type="dxa"/>
            <w:tcBorders>
              <w:top w:val="single" w:sz="8" w:space="0" w:color="000000"/>
              <w:left w:val="single" w:sz="8" w:space="0" w:color="000000"/>
              <w:bottom w:val="single" w:sz="8" w:space="0" w:color="000000"/>
              <w:right w:val="single" w:sz="8" w:space="0" w:color="000000"/>
            </w:tcBorders>
            <w:vAlign w:val="center"/>
          </w:tcPr>
          <w:p w14:paraId="46081818" w14:textId="77777777" w:rsidR="008C2A20" w:rsidRDefault="007F547B">
            <w:pPr>
              <w:spacing w:after="0" w:line="259" w:lineRule="auto"/>
              <w:ind w:left="0" w:right="0" w:firstLine="0"/>
              <w:jc w:val="center"/>
            </w:pPr>
            <w:r>
              <w:t xml:space="preserve">Surrogate primary key </w:t>
            </w:r>
          </w:p>
        </w:tc>
      </w:tr>
      <w:tr w:rsidR="008C2A20" w14:paraId="65784DE6" w14:textId="77777777">
        <w:trPr>
          <w:trHeight w:val="540"/>
        </w:trPr>
        <w:tc>
          <w:tcPr>
            <w:tcW w:w="2863" w:type="dxa"/>
            <w:tcBorders>
              <w:top w:val="single" w:sz="8" w:space="0" w:color="000000"/>
              <w:left w:val="single" w:sz="8" w:space="0" w:color="000000"/>
              <w:bottom w:val="single" w:sz="8" w:space="0" w:color="000000"/>
              <w:right w:val="single" w:sz="8" w:space="0" w:color="000000"/>
            </w:tcBorders>
            <w:vAlign w:val="center"/>
          </w:tcPr>
          <w:p w14:paraId="40D24DD6" w14:textId="77777777" w:rsidR="008C2A20" w:rsidRDefault="007F547B">
            <w:pPr>
              <w:spacing w:after="0" w:line="259" w:lineRule="auto"/>
              <w:ind w:left="0" w:right="12" w:firstLine="0"/>
              <w:jc w:val="center"/>
            </w:pPr>
            <w:r>
              <w:t xml:space="preserve">Ticker </w:t>
            </w:r>
          </w:p>
        </w:tc>
        <w:tc>
          <w:tcPr>
            <w:tcW w:w="2120" w:type="dxa"/>
            <w:tcBorders>
              <w:top w:val="single" w:sz="8" w:space="0" w:color="000000"/>
              <w:left w:val="single" w:sz="8" w:space="0" w:color="000000"/>
              <w:bottom w:val="single" w:sz="8" w:space="0" w:color="000000"/>
              <w:right w:val="single" w:sz="8" w:space="0" w:color="000000"/>
            </w:tcBorders>
            <w:vAlign w:val="center"/>
          </w:tcPr>
          <w:p w14:paraId="5F00D36C" w14:textId="77777777" w:rsidR="008C2A20" w:rsidRDefault="007F547B">
            <w:pPr>
              <w:spacing w:after="0" w:line="259" w:lineRule="auto"/>
              <w:ind w:left="0" w:right="0" w:firstLine="0"/>
              <w:jc w:val="center"/>
            </w:pPr>
            <w:r>
              <w:t xml:space="preserve">VARCHAR </w:t>
            </w:r>
          </w:p>
        </w:tc>
        <w:tc>
          <w:tcPr>
            <w:tcW w:w="4180" w:type="dxa"/>
            <w:tcBorders>
              <w:top w:val="single" w:sz="8" w:space="0" w:color="000000"/>
              <w:left w:val="single" w:sz="8" w:space="0" w:color="000000"/>
              <w:bottom w:val="single" w:sz="8" w:space="0" w:color="000000"/>
              <w:right w:val="single" w:sz="8" w:space="0" w:color="000000"/>
            </w:tcBorders>
            <w:vAlign w:val="center"/>
          </w:tcPr>
          <w:p w14:paraId="3DBBB76B" w14:textId="77777777" w:rsidR="008C2A20" w:rsidRDefault="007F547B">
            <w:pPr>
              <w:spacing w:after="0" w:line="259" w:lineRule="auto"/>
              <w:ind w:left="0" w:right="0" w:firstLine="0"/>
              <w:jc w:val="center"/>
            </w:pPr>
            <w:r>
              <w:t xml:space="preserve">Unique symbol for the stock </w:t>
            </w:r>
          </w:p>
        </w:tc>
      </w:tr>
      <w:tr w:rsidR="008C2A20" w14:paraId="107B8781" w14:textId="77777777">
        <w:trPr>
          <w:trHeight w:val="520"/>
        </w:trPr>
        <w:tc>
          <w:tcPr>
            <w:tcW w:w="2863" w:type="dxa"/>
            <w:tcBorders>
              <w:top w:val="single" w:sz="8" w:space="0" w:color="000000"/>
              <w:left w:val="single" w:sz="8" w:space="0" w:color="000000"/>
              <w:bottom w:val="single" w:sz="8" w:space="0" w:color="000000"/>
              <w:right w:val="single" w:sz="8" w:space="0" w:color="000000"/>
            </w:tcBorders>
            <w:vAlign w:val="center"/>
          </w:tcPr>
          <w:p w14:paraId="53515C13" w14:textId="77777777" w:rsidR="008C2A20" w:rsidRDefault="007F547B">
            <w:pPr>
              <w:spacing w:after="0" w:line="259" w:lineRule="auto"/>
              <w:ind w:left="0" w:right="12" w:firstLine="0"/>
              <w:jc w:val="center"/>
            </w:pPr>
            <w:proofErr w:type="spellStart"/>
            <w:r>
              <w:t>CompanyName</w:t>
            </w:r>
            <w:proofErr w:type="spellEnd"/>
            <w:r>
              <w:t xml:space="preserve"> </w:t>
            </w:r>
          </w:p>
        </w:tc>
        <w:tc>
          <w:tcPr>
            <w:tcW w:w="2120" w:type="dxa"/>
            <w:tcBorders>
              <w:top w:val="single" w:sz="8" w:space="0" w:color="000000"/>
              <w:left w:val="single" w:sz="8" w:space="0" w:color="000000"/>
              <w:bottom w:val="single" w:sz="8" w:space="0" w:color="000000"/>
              <w:right w:val="single" w:sz="8" w:space="0" w:color="000000"/>
            </w:tcBorders>
            <w:vAlign w:val="center"/>
          </w:tcPr>
          <w:p w14:paraId="734637D7" w14:textId="77777777" w:rsidR="008C2A20" w:rsidRDefault="007F547B">
            <w:pPr>
              <w:spacing w:after="0" w:line="259" w:lineRule="auto"/>
              <w:ind w:left="0" w:right="0" w:firstLine="0"/>
              <w:jc w:val="center"/>
            </w:pPr>
            <w:r>
              <w:t xml:space="preserve">VARCHAR </w:t>
            </w:r>
          </w:p>
        </w:tc>
        <w:tc>
          <w:tcPr>
            <w:tcW w:w="4180" w:type="dxa"/>
            <w:tcBorders>
              <w:top w:val="single" w:sz="8" w:space="0" w:color="000000"/>
              <w:left w:val="single" w:sz="8" w:space="0" w:color="000000"/>
              <w:bottom w:val="single" w:sz="8" w:space="0" w:color="000000"/>
              <w:right w:val="single" w:sz="8" w:space="0" w:color="000000"/>
            </w:tcBorders>
            <w:vAlign w:val="center"/>
          </w:tcPr>
          <w:p w14:paraId="67D9255E" w14:textId="77777777" w:rsidR="008C2A20" w:rsidRDefault="007F547B">
            <w:pPr>
              <w:spacing w:after="0" w:line="259" w:lineRule="auto"/>
              <w:ind w:left="0" w:right="0" w:firstLine="0"/>
              <w:jc w:val="center"/>
            </w:pPr>
            <w:r>
              <w:t xml:space="preserve">Full name of the company </w:t>
            </w:r>
          </w:p>
        </w:tc>
      </w:tr>
      <w:tr w:rsidR="008C2A20" w14:paraId="5E2793C8" w14:textId="77777777">
        <w:trPr>
          <w:trHeight w:val="540"/>
        </w:trPr>
        <w:tc>
          <w:tcPr>
            <w:tcW w:w="2863" w:type="dxa"/>
            <w:tcBorders>
              <w:top w:val="single" w:sz="8" w:space="0" w:color="000000"/>
              <w:left w:val="single" w:sz="8" w:space="0" w:color="000000"/>
              <w:bottom w:val="single" w:sz="8" w:space="0" w:color="000000"/>
              <w:right w:val="single" w:sz="8" w:space="0" w:color="000000"/>
            </w:tcBorders>
            <w:vAlign w:val="center"/>
          </w:tcPr>
          <w:p w14:paraId="6E0A191B" w14:textId="77777777" w:rsidR="008C2A20" w:rsidRDefault="007F547B">
            <w:pPr>
              <w:spacing w:after="0" w:line="259" w:lineRule="auto"/>
              <w:ind w:left="0" w:right="12" w:firstLine="0"/>
              <w:jc w:val="center"/>
            </w:pPr>
            <w:r>
              <w:t xml:space="preserve">Sector </w:t>
            </w:r>
          </w:p>
        </w:tc>
        <w:tc>
          <w:tcPr>
            <w:tcW w:w="2120" w:type="dxa"/>
            <w:tcBorders>
              <w:top w:val="single" w:sz="8" w:space="0" w:color="000000"/>
              <w:left w:val="single" w:sz="8" w:space="0" w:color="000000"/>
              <w:bottom w:val="single" w:sz="8" w:space="0" w:color="000000"/>
              <w:right w:val="single" w:sz="8" w:space="0" w:color="000000"/>
            </w:tcBorders>
            <w:vAlign w:val="center"/>
          </w:tcPr>
          <w:p w14:paraId="14721852" w14:textId="77777777" w:rsidR="008C2A20" w:rsidRDefault="007F547B">
            <w:pPr>
              <w:spacing w:after="0" w:line="259" w:lineRule="auto"/>
              <w:ind w:left="0" w:right="0" w:firstLine="0"/>
              <w:jc w:val="center"/>
            </w:pPr>
            <w:r>
              <w:t xml:space="preserve">VARCHAR </w:t>
            </w:r>
          </w:p>
        </w:tc>
        <w:tc>
          <w:tcPr>
            <w:tcW w:w="4180" w:type="dxa"/>
            <w:tcBorders>
              <w:top w:val="single" w:sz="8" w:space="0" w:color="000000"/>
              <w:left w:val="single" w:sz="8" w:space="0" w:color="000000"/>
              <w:bottom w:val="single" w:sz="8" w:space="0" w:color="000000"/>
              <w:right w:val="single" w:sz="8" w:space="0" w:color="000000"/>
            </w:tcBorders>
            <w:vAlign w:val="center"/>
          </w:tcPr>
          <w:p w14:paraId="781BD0D6" w14:textId="77777777" w:rsidR="008C2A20" w:rsidRDefault="007F547B">
            <w:pPr>
              <w:spacing w:after="0" w:line="259" w:lineRule="auto"/>
              <w:ind w:left="0" w:right="0" w:firstLine="0"/>
              <w:jc w:val="center"/>
            </w:pPr>
            <w:r>
              <w:t xml:space="preserve">Sector classification (e.g., Tech) </w:t>
            </w:r>
          </w:p>
        </w:tc>
      </w:tr>
      <w:tr w:rsidR="008C2A20" w14:paraId="79F182EE" w14:textId="77777777">
        <w:trPr>
          <w:trHeight w:val="540"/>
        </w:trPr>
        <w:tc>
          <w:tcPr>
            <w:tcW w:w="2863" w:type="dxa"/>
            <w:tcBorders>
              <w:top w:val="single" w:sz="8" w:space="0" w:color="000000"/>
              <w:left w:val="single" w:sz="8" w:space="0" w:color="000000"/>
              <w:bottom w:val="single" w:sz="8" w:space="0" w:color="000000"/>
              <w:right w:val="single" w:sz="8" w:space="0" w:color="000000"/>
            </w:tcBorders>
            <w:vAlign w:val="center"/>
          </w:tcPr>
          <w:p w14:paraId="2F5D4B2E" w14:textId="77777777" w:rsidR="008C2A20" w:rsidRDefault="007F547B">
            <w:pPr>
              <w:spacing w:after="0" w:line="259" w:lineRule="auto"/>
              <w:ind w:left="0" w:right="12" w:firstLine="0"/>
              <w:jc w:val="center"/>
            </w:pPr>
            <w:r>
              <w:t xml:space="preserve">Industry </w:t>
            </w:r>
          </w:p>
        </w:tc>
        <w:tc>
          <w:tcPr>
            <w:tcW w:w="2120" w:type="dxa"/>
            <w:tcBorders>
              <w:top w:val="single" w:sz="8" w:space="0" w:color="000000"/>
              <w:left w:val="single" w:sz="8" w:space="0" w:color="000000"/>
              <w:bottom w:val="single" w:sz="8" w:space="0" w:color="000000"/>
              <w:right w:val="single" w:sz="8" w:space="0" w:color="000000"/>
            </w:tcBorders>
            <w:vAlign w:val="center"/>
          </w:tcPr>
          <w:p w14:paraId="2919F04A" w14:textId="77777777" w:rsidR="008C2A20" w:rsidRDefault="007F547B">
            <w:pPr>
              <w:spacing w:after="0" w:line="259" w:lineRule="auto"/>
              <w:ind w:left="0" w:right="0" w:firstLine="0"/>
              <w:jc w:val="center"/>
            </w:pPr>
            <w:r>
              <w:t xml:space="preserve">VARCHAR </w:t>
            </w:r>
          </w:p>
        </w:tc>
        <w:tc>
          <w:tcPr>
            <w:tcW w:w="4180" w:type="dxa"/>
            <w:tcBorders>
              <w:top w:val="single" w:sz="8" w:space="0" w:color="000000"/>
              <w:left w:val="single" w:sz="8" w:space="0" w:color="000000"/>
              <w:bottom w:val="single" w:sz="8" w:space="0" w:color="000000"/>
              <w:right w:val="single" w:sz="8" w:space="0" w:color="000000"/>
            </w:tcBorders>
            <w:vAlign w:val="center"/>
          </w:tcPr>
          <w:p w14:paraId="632412C9" w14:textId="77777777" w:rsidR="008C2A20" w:rsidRDefault="007F547B">
            <w:pPr>
              <w:spacing w:after="0" w:line="259" w:lineRule="auto"/>
              <w:ind w:left="0" w:right="0" w:firstLine="0"/>
              <w:jc w:val="center"/>
            </w:pPr>
            <w:r>
              <w:t xml:space="preserve">Industry classification </w:t>
            </w:r>
          </w:p>
        </w:tc>
      </w:tr>
      <w:tr w:rsidR="008C2A20" w14:paraId="388DE991" w14:textId="77777777">
        <w:trPr>
          <w:trHeight w:val="520"/>
        </w:trPr>
        <w:tc>
          <w:tcPr>
            <w:tcW w:w="2863" w:type="dxa"/>
            <w:tcBorders>
              <w:top w:val="single" w:sz="8" w:space="0" w:color="000000"/>
              <w:left w:val="single" w:sz="8" w:space="0" w:color="000000"/>
              <w:bottom w:val="single" w:sz="8" w:space="0" w:color="000000"/>
              <w:right w:val="single" w:sz="8" w:space="0" w:color="000000"/>
            </w:tcBorders>
            <w:vAlign w:val="center"/>
          </w:tcPr>
          <w:p w14:paraId="4138E377" w14:textId="77777777" w:rsidR="008C2A20" w:rsidRDefault="007F547B">
            <w:pPr>
              <w:spacing w:after="0" w:line="259" w:lineRule="auto"/>
              <w:ind w:left="0" w:right="12" w:firstLine="0"/>
              <w:jc w:val="center"/>
            </w:pPr>
            <w:r>
              <w:t xml:space="preserve">Country </w:t>
            </w:r>
          </w:p>
        </w:tc>
        <w:tc>
          <w:tcPr>
            <w:tcW w:w="2120" w:type="dxa"/>
            <w:tcBorders>
              <w:top w:val="single" w:sz="8" w:space="0" w:color="000000"/>
              <w:left w:val="single" w:sz="8" w:space="0" w:color="000000"/>
              <w:bottom w:val="single" w:sz="8" w:space="0" w:color="000000"/>
              <w:right w:val="single" w:sz="8" w:space="0" w:color="000000"/>
            </w:tcBorders>
            <w:vAlign w:val="center"/>
          </w:tcPr>
          <w:p w14:paraId="3E7B2193" w14:textId="77777777" w:rsidR="008C2A20" w:rsidRDefault="007F547B">
            <w:pPr>
              <w:spacing w:after="0" w:line="259" w:lineRule="auto"/>
              <w:ind w:left="0" w:right="0" w:firstLine="0"/>
              <w:jc w:val="center"/>
            </w:pPr>
            <w:r>
              <w:t xml:space="preserve">VARCHAR </w:t>
            </w:r>
          </w:p>
        </w:tc>
        <w:tc>
          <w:tcPr>
            <w:tcW w:w="4180" w:type="dxa"/>
            <w:tcBorders>
              <w:top w:val="single" w:sz="8" w:space="0" w:color="000000"/>
              <w:left w:val="single" w:sz="8" w:space="0" w:color="000000"/>
              <w:bottom w:val="single" w:sz="8" w:space="0" w:color="000000"/>
              <w:right w:val="single" w:sz="8" w:space="0" w:color="000000"/>
            </w:tcBorders>
            <w:vAlign w:val="center"/>
          </w:tcPr>
          <w:p w14:paraId="14C3D9F9" w14:textId="77777777" w:rsidR="008C2A20" w:rsidRDefault="007F547B">
            <w:pPr>
              <w:spacing w:after="0" w:line="259" w:lineRule="auto"/>
              <w:ind w:left="0" w:right="0" w:firstLine="0"/>
              <w:jc w:val="center"/>
            </w:pPr>
            <w:r>
              <w:t xml:space="preserve">Country of incorporation </w:t>
            </w:r>
          </w:p>
        </w:tc>
      </w:tr>
      <w:tr w:rsidR="008C2A20" w14:paraId="1B4556BD" w14:textId="77777777">
        <w:trPr>
          <w:trHeight w:val="540"/>
        </w:trPr>
        <w:tc>
          <w:tcPr>
            <w:tcW w:w="2863" w:type="dxa"/>
            <w:tcBorders>
              <w:top w:val="single" w:sz="8" w:space="0" w:color="000000"/>
              <w:left w:val="single" w:sz="8" w:space="0" w:color="000000"/>
              <w:bottom w:val="single" w:sz="8" w:space="0" w:color="000000"/>
              <w:right w:val="single" w:sz="8" w:space="0" w:color="000000"/>
            </w:tcBorders>
            <w:vAlign w:val="center"/>
          </w:tcPr>
          <w:p w14:paraId="37463DC9" w14:textId="77777777" w:rsidR="008C2A20" w:rsidRDefault="007F547B">
            <w:pPr>
              <w:spacing w:after="0" w:line="259" w:lineRule="auto"/>
              <w:ind w:left="0" w:right="12" w:firstLine="0"/>
              <w:jc w:val="center"/>
            </w:pPr>
            <w:proofErr w:type="spellStart"/>
            <w:r>
              <w:t>IPO_Year</w:t>
            </w:r>
            <w:proofErr w:type="spellEnd"/>
            <w:r>
              <w:t xml:space="preserve"> </w:t>
            </w:r>
          </w:p>
        </w:tc>
        <w:tc>
          <w:tcPr>
            <w:tcW w:w="2120" w:type="dxa"/>
            <w:tcBorders>
              <w:top w:val="single" w:sz="8" w:space="0" w:color="000000"/>
              <w:left w:val="single" w:sz="8" w:space="0" w:color="000000"/>
              <w:bottom w:val="single" w:sz="8" w:space="0" w:color="000000"/>
              <w:right w:val="single" w:sz="8" w:space="0" w:color="000000"/>
            </w:tcBorders>
            <w:vAlign w:val="center"/>
          </w:tcPr>
          <w:p w14:paraId="1CBD2742" w14:textId="77777777" w:rsidR="008C2A20" w:rsidRDefault="007F547B">
            <w:pPr>
              <w:spacing w:after="0" w:line="259" w:lineRule="auto"/>
              <w:ind w:left="0" w:right="0" w:firstLine="0"/>
              <w:jc w:val="center"/>
            </w:pPr>
            <w:r>
              <w:t xml:space="preserve">INT </w:t>
            </w:r>
          </w:p>
        </w:tc>
        <w:tc>
          <w:tcPr>
            <w:tcW w:w="4180" w:type="dxa"/>
            <w:tcBorders>
              <w:top w:val="single" w:sz="8" w:space="0" w:color="000000"/>
              <w:left w:val="single" w:sz="8" w:space="0" w:color="000000"/>
              <w:bottom w:val="single" w:sz="8" w:space="0" w:color="000000"/>
              <w:right w:val="single" w:sz="8" w:space="0" w:color="000000"/>
            </w:tcBorders>
            <w:vAlign w:val="center"/>
          </w:tcPr>
          <w:p w14:paraId="1F97BD49" w14:textId="77777777" w:rsidR="008C2A20" w:rsidRDefault="007F547B">
            <w:pPr>
              <w:spacing w:after="0" w:line="259" w:lineRule="auto"/>
              <w:ind w:left="0" w:right="0" w:firstLine="0"/>
              <w:jc w:val="center"/>
            </w:pPr>
            <w:r>
              <w:t xml:space="preserve">Year of IPO </w:t>
            </w:r>
          </w:p>
        </w:tc>
      </w:tr>
    </w:tbl>
    <w:p w14:paraId="4E1D537F" w14:textId="77777777" w:rsidR="008C2A20" w:rsidRDefault="007F547B">
      <w:pPr>
        <w:spacing w:after="278" w:line="259" w:lineRule="auto"/>
        <w:ind w:left="0" w:right="0" w:firstLine="0"/>
        <w:jc w:val="left"/>
      </w:pPr>
      <w:r>
        <w:t xml:space="preserve"> </w:t>
      </w:r>
    </w:p>
    <w:p w14:paraId="561909E0" w14:textId="77777777" w:rsidR="008C2A20" w:rsidRDefault="007F547B">
      <w:pPr>
        <w:spacing w:after="261" w:line="259" w:lineRule="auto"/>
        <w:ind w:left="0" w:right="0" w:firstLine="0"/>
        <w:jc w:val="left"/>
      </w:pPr>
      <w:r>
        <w:rPr>
          <w:b/>
          <w:sz w:val="24"/>
        </w:rPr>
        <w:t xml:space="preserve"> </w:t>
      </w:r>
    </w:p>
    <w:p w14:paraId="199CAEF1" w14:textId="77777777" w:rsidR="008C2A20" w:rsidRDefault="007F547B">
      <w:pPr>
        <w:spacing w:after="0" w:line="259" w:lineRule="auto"/>
        <w:ind w:left="0" w:right="0" w:firstLine="0"/>
        <w:jc w:val="left"/>
      </w:pPr>
      <w:r>
        <w:rPr>
          <w:b/>
          <w:sz w:val="24"/>
        </w:rPr>
        <w:t xml:space="preserve"> </w:t>
      </w:r>
    </w:p>
    <w:p w14:paraId="2AF021DA" w14:textId="77777777" w:rsidR="008C2A20" w:rsidRDefault="007F547B">
      <w:pPr>
        <w:pStyle w:val="Heading4"/>
        <w:ind w:left="-5"/>
      </w:pPr>
      <w:proofErr w:type="spellStart"/>
      <w:r>
        <w:t>DimDate</w:t>
      </w:r>
      <w:proofErr w:type="spellEnd"/>
      <w:r>
        <w:rPr>
          <w:u w:val="none"/>
        </w:rPr>
        <w:t xml:space="preserve"> </w:t>
      </w:r>
    </w:p>
    <w:p w14:paraId="594F7AEA" w14:textId="77777777" w:rsidR="008C2A20" w:rsidRDefault="007F547B">
      <w:pPr>
        <w:spacing w:after="0"/>
        <w:ind w:right="439"/>
      </w:pPr>
      <w:r>
        <w:t xml:space="preserve">Holds temporal data and macroeconomic indicators. </w:t>
      </w:r>
    </w:p>
    <w:tbl>
      <w:tblPr>
        <w:tblStyle w:val="TableGrid"/>
        <w:tblW w:w="9483" w:type="dxa"/>
        <w:tblInd w:w="8" w:type="dxa"/>
        <w:tblCellMar>
          <w:top w:w="160" w:type="dxa"/>
          <w:left w:w="134" w:type="dxa"/>
          <w:right w:w="79" w:type="dxa"/>
        </w:tblCellMar>
        <w:tblLook w:val="04A0" w:firstRow="1" w:lastRow="0" w:firstColumn="1" w:lastColumn="0" w:noHBand="0" w:noVBand="1"/>
      </w:tblPr>
      <w:tblGrid>
        <w:gridCol w:w="3403"/>
        <w:gridCol w:w="2920"/>
        <w:gridCol w:w="3160"/>
      </w:tblGrid>
      <w:tr w:rsidR="008C2A20" w14:paraId="2F7F2B11" w14:textId="77777777">
        <w:trPr>
          <w:trHeight w:val="525"/>
        </w:trPr>
        <w:tc>
          <w:tcPr>
            <w:tcW w:w="3403"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592B513A" w14:textId="77777777" w:rsidR="008C2A20" w:rsidRDefault="007F547B">
            <w:pPr>
              <w:spacing w:after="0" w:line="259" w:lineRule="auto"/>
              <w:ind w:left="0" w:right="67" w:firstLine="0"/>
              <w:jc w:val="center"/>
            </w:pPr>
            <w:r>
              <w:rPr>
                <w:b/>
                <w:color w:val="FFFFFF"/>
              </w:rPr>
              <w:t xml:space="preserve">Column Name </w:t>
            </w:r>
          </w:p>
        </w:tc>
        <w:tc>
          <w:tcPr>
            <w:tcW w:w="292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6DD7FF53" w14:textId="77777777" w:rsidR="008C2A20" w:rsidRDefault="007F547B">
            <w:pPr>
              <w:spacing w:after="0" w:line="259" w:lineRule="auto"/>
              <w:ind w:left="0" w:right="60" w:firstLine="0"/>
              <w:jc w:val="center"/>
            </w:pPr>
            <w:r>
              <w:rPr>
                <w:b/>
                <w:color w:val="FFFFFF"/>
              </w:rPr>
              <w:t xml:space="preserve">Type </w:t>
            </w:r>
          </w:p>
        </w:tc>
        <w:tc>
          <w:tcPr>
            <w:tcW w:w="3160" w:type="dxa"/>
            <w:tcBorders>
              <w:top w:val="single" w:sz="8" w:space="0" w:color="000000"/>
              <w:left w:val="single" w:sz="8" w:space="0" w:color="000000"/>
              <w:bottom w:val="single" w:sz="8" w:space="0" w:color="000000"/>
              <w:right w:val="single" w:sz="8" w:space="0" w:color="000000"/>
            </w:tcBorders>
            <w:shd w:val="clear" w:color="auto" w:fill="365F91"/>
            <w:vAlign w:val="center"/>
          </w:tcPr>
          <w:p w14:paraId="126B0A84" w14:textId="77777777" w:rsidR="008C2A20" w:rsidRDefault="007F547B">
            <w:pPr>
              <w:spacing w:after="0" w:line="259" w:lineRule="auto"/>
              <w:ind w:left="0" w:right="50" w:firstLine="0"/>
              <w:jc w:val="center"/>
            </w:pPr>
            <w:r>
              <w:rPr>
                <w:b/>
                <w:color w:val="FFFFFF"/>
              </w:rPr>
              <w:t xml:space="preserve">Description </w:t>
            </w:r>
          </w:p>
        </w:tc>
      </w:tr>
      <w:tr w:rsidR="008C2A20" w14:paraId="770BB4CE" w14:textId="77777777">
        <w:trPr>
          <w:trHeight w:val="535"/>
        </w:trPr>
        <w:tc>
          <w:tcPr>
            <w:tcW w:w="3403" w:type="dxa"/>
            <w:tcBorders>
              <w:top w:val="single" w:sz="8" w:space="0" w:color="000000"/>
              <w:left w:val="single" w:sz="8" w:space="0" w:color="000000"/>
              <w:bottom w:val="single" w:sz="8" w:space="0" w:color="000000"/>
              <w:right w:val="single" w:sz="8" w:space="0" w:color="000000"/>
            </w:tcBorders>
            <w:vAlign w:val="center"/>
          </w:tcPr>
          <w:p w14:paraId="3CA3FF19" w14:textId="77777777" w:rsidR="008C2A20" w:rsidRDefault="007F547B">
            <w:pPr>
              <w:spacing w:after="0" w:line="259" w:lineRule="auto"/>
              <w:ind w:left="0" w:right="67" w:firstLine="0"/>
              <w:jc w:val="center"/>
            </w:pPr>
            <w:proofErr w:type="spellStart"/>
            <w:r>
              <w:t>DateKey</w:t>
            </w:r>
            <w:proofErr w:type="spellEnd"/>
            <w:r>
              <w:t xml:space="preserve"> </w:t>
            </w:r>
          </w:p>
        </w:tc>
        <w:tc>
          <w:tcPr>
            <w:tcW w:w="2920" w:type="dxa"/>
            <w:tcBorders>
              <w:top w:val="single" w:sz="8" w:space="0" w:color="000000"/>
              <w:left w:val="single" w:sz="8" w:space="0" w:color="000000"/>
              <w:bottom w:val="single" w:sz="8" w:space="0" w:color="000000"/>
              <w:right w:val="single" w:sz="8" w:space="0" w:color="000000"/>
            </w:tcBorders>
            <w:vAlign w:val="center"/>
          </w:tcPr>
          <w:p w14:paraId="7A7E2657" w14:textId="77777777" w:rsidR="008C2A20" w:rsidRDefault="007F547B">
            <w:pPr>
              <w:spacing w:after="0" w:line="259" w:lineRule="auto"/>
              <w:ind w:left="0" w:right="60" w:firstLine="0"/>
              <w:jc w:val="center"/>
            </w:pPr>
            <w:r>
              <w:t xml:space="preserve">INT </w:t>
            </w:r>
          </w:p>
        </w:tc>
        <w:tc>
          <w:tcPr>
            <w:tcW w:w="3160" w:type="dxa"/>
            <w:tcBorders>
              <w:top w:val="single" w:sz="8" w:space="0" w:color="000000"/>
              <w:left w:val="single" w:sz="8" w:space="0" w:color="000000"/>
              <w:bottom w:val="single" w:sz="8" w:space="0" w:color="000000"/>
              <w:right w:val="single" w:sz="8" w:space="0" w:color="000000"/>
            </w:tcBorders>
            <w:vAlign w:val="center"/>
          </w:tcPr>
          <w:p w14:paraId="5491C3A7" w14:textId="77777777" w:rsidR="008C2A20" w:rsidRDefault="007F547B">
            <w:pPr>
              <w:spacing w:after="0" w:line="259" w:lineRule="auto"/>
              <w:ind w:left="0" w:right="50" w:firstLine="0"/>
              <w:jc w:val="center"/>
            </w:pPr>
            <w:r>
              <w:t xml:space="preserve">Surrogate key (e.g., 201701) </w:t>
            </w:r>
          </w:p>
        </w:tc>
      </w:tr>
      <w:tr w:rsidR="008C2A20" w14:paraId="56E8F854" w14:textId="77777777">
        <w:trPr>
          <w:trHeight w:val="540"/>
        </w:trPr>
        <w:tc>
          <w:tcPr>
            <w:tcW w:w="3403" w:type="dxa"/>
            <w:tcBorders>
              <w:top w:val="single" w:sz="8" w:space="0" w:color="000000"/>
              <w:left w:val="single" w:sz="8" w:space="0" w:color="000000"/>
              <w:bottom w:val="single" w:sz="8" w:space="0" w:color="000000"/>
              <w:right w:val="single" w:sz="8" w:space="0" w:color="000000"/>
            </w:tcBorders>
            <w:vAlign w:val="center"/>
          </w:tcPr>
          <w:p w14:paraId="17244C8F" w14:textId="77777777" w:rsidR="008C2A20" w:rsidRDefault="007F547B">
            <w:pPr>
              <w:spacing w:after="0" w:line="259" w:lineRule="auto"/>
              <w:ind w:left="0" w:right="67" w:firstLine="0"/>
              <w:jc w:val="center"/>
            </w:pPr>
            <w:r>
              <w:lastRenderedPageBreak/>
              <w:t xml:space="preserve">Year </w:t>
            </w:r>
          </w:p>
        </w:tc>
        <w:tc>
          <w:tcPr>
            <w:tcW w:w="2920" w:type="dxa"/>
            <w:tcBorders>
              <w:top w:val="single" w:sz="8" w:space="0" w:color="000000"/>
              <w:left w:val="single" w:sz="8" w:space="0" w:color="000000"/>
              <w:bottom w:val="single" w:sz="8" w:space="0" w:color="000000"/>
              <w:right w:val="single" w:sz="8" w:space="0" w:color="000000"/>
            </w:tcBorders>
            <w:vAlign w:val="center"/>
          </w:tcPr>
          <w:p w14:paraId="6699B807" w14:textId="77777777" w:rsidR="008C2A20" w:rsidRDefault="007F547B">
            <w:pPr>
              <w:spacing w:after="0" w:line="259" w:lineRule="auto"/>
              <w:ind w:left="0" w:right="60" w:firstLine="0"/>
              <w:jc w:val="center"/>
            </w:pPr>
            <w:r>
              <w:t xml:space="preserve">INT </w:t>
            </w:r>
          </w:p>
        </w:tc>
        <w:tc>
          <w:tcPr>
            <w:tcW w:w="3160" w:type="dxa"/>
            <w:tcBorders>
              <w:top w:val="single" w:sz="8" w:space="0" w:color="000000"/>
              <w:left w:val="single" w:sz="8" w:space="0" w:color="000000"/>
              <w:bottom w:val="single" w:sz="8" w:space="0" w:color="000000"/>
              <w:right w:val="single" w:sz="8" w:space="0" w:color="000000"/>
            </w:tcBorders>
            <w:vAlign w:val="center"/>
          </w:tcPr>
          <w:p w14:paraId="3235D995" w14:textId="77777777" w:rsidR="008C2A20" w:rsidRDefault="007F547B">
            <w:pPr>
              <w:spacing w:after="0" w:line="259" w:lineRule="auto"/>
              <w:ind w:left="0" w:right="50" w:firstLine="0"/>
              <w:jc w:val="center"/>
            </w:pPr>
            <w:r>
              <w:t xml:space="preserve">Calendar year </w:t>
            </w:r>
          </w:p>
        </w:tc>
      </w:tr>
      <w:tr w:rsidR="008C2A20" w14:paraId="428A0CEB" w14:textId="77777777">
        <w:trPr>
          <w:trHeight w:val="540"/>
        </w:trPr>
        <w:tc>
          <w:tcPr>
            <w:tcW w:w="3403" w:type="dxa"/>
            <w:tcBorders>
              <w:top w:val="single" w:sz="8" w:space="0" w:color="000000"/>
              <w:left w:val="single" w:sz="8" w:space="0" w:color="000000"/>
              <w:bottom w:val="single" w:sz="8" w:space="0" w:color="000000"/>
              <w:right w:val="single" w:sz="8" w:space="0" w:color="000000"/>
            </w:tcBorders>
            <w:vAlign w:val="center"/>
          </w:tcPr>
          <w:p w14:paraId="428B8821" w14:textId="77777777" w:rsidR="008C2A20" w:rsidRDefault="007F547B">
            <w:pPr>
              <w:spacing w:after="0" w:line="259" w:lineRule="auto"/>
              <w:ind w:left="0" w:right="67" w:firstLine="0"/>
              <w:jc w:val="center"/>
            </w:pPr>
            <w:r>
              <w:t xml:space="preserve">Month </w:t>
            </w:r>
          </w:p>
        </w:tc>
        <w:tc>
          <w:tcPr>
            <w:tcW w:w="2920" w:type="dxa"/>
            <w:tcBorders>
              <w:top w:val="single" w:sz="8" w:space="0" w:color="000000"/>
              <w:left w:val="single" w:sz="8" w:space="0" w:color="000000"/>
              <w:bottom w:val="single" w:sz="8" w:space="0" w:color="000000"/>
              <w:right w:val="single" w:sz="8" w:space="0" w:color="000000"/>
            </w:tcBorders>
            <w:vAlign w:val="center"/>
          </w:tcPr>
          <w:p w14:paraId="7DF23D1D" w14:textId="77777777" w:rsidR="008C2A20" w:rsidRDefault="007F547B">
            <w:pPr>
              <w:spacing w:after="0" w:line="259" w:lineRule="auto"/>
              <w:ind w:left="0" w:right="60" w:firstLine="0"/>
              <w:jc w:val="center"/>
            </w:pPr>
            <w:r>
              <w:t xml:space="preserve">INT </w:t>
            </w:r>
          </w:p>
        </w:tc>
        <w:tc>
          <w:tcPr>
            <w:tcW w:w="3160" w:type="dxa"/>
            <w:tcBorders>
              <w:top w:val="single" w:sz="8" w:space="0" w:color="000000"/>
              <w:left w:val="single" w:sz="8" w:space="0" w:color="000000"/>
              <w:bottom w:val="single" w:sz="8" w:space="0" w:color="000000"/>
              <w:right w:val="single" w:sz="8" w:space="0" w:color="000000"/>
            </w:tcBorders>
            <w:vAlign w:val="center"/>
          </w:tcPr>
          <w:p w14:paraId="511F8DA6" w14:textId="77777777" w:rsidR="008C2A20" w:rsidRDefault="007F547B">
            <w:pPr>
              <w:spacing w:after="0" w:line="259" w:lineRule="auto"/>
              <w:ind w:left="0" w:right="50" w:firstLine="0"/>
              <w:jc w:val="center"/>
            </w:pPr>
            <w:r>
              <w:t xml:space="preserve">Calendar month </w:t>
            </w:r>
          </w:p>
        </w:tc>
      </w:tr>
      <w:tr w:rsidR="008C2A20" w14:paraId="4B0919D7" w14:textId="77777777">
        <w:trPr>
          <w:trHeight w:val="520"/>
        </w:trPr>
        <w:tc>
          <w:tcPr>
            <w:tcW w:w="3403" w:type="dxa"/>
            <w:tcBorders>
              <w:top w:val="single" w:sz="8" w:space="0" w:color="000000"/>
              <w:left w:val="single" w:sz="8" w:space="0" w:color="000000"/>
              <w:bottom w:val="single" w:sz="8" w:space="0" w:color="000000"/>
              <w:right w:val="single" w:sz="8" w:space="0" w:color="000000"/>
            </w:tcBorders>
            <w:vAlign w:val="center"/>
          </w:tcPr>
          <w:p w14:paraId="451E77A0" w14:textId="77777777" w:rsidR="008C2A20" w:rsidRDefault="007F547B">
            <w:pPr>
              <w:spacing w:after="0" w:line="259" w:lineRule="auto"/>
              <w:ind w:left="0" w:right="67" w:firstLine="0"/>
              <w:jc w:val="center"/>
            </w:pPr>
            <w:proofErr w:type="spellStart"/>
            <w:r>
              <w:t>MonthName</w:t>
            </w:r>
            <w:proofErr w:type="spellEnd"/>
            <w:r>
              <w:t xml:space="preserve"> </w:t>
            </w:r>
          </w:p>
        </w:tc>
        <w:tc>
          <w:tcPr>
            <w:tcW w:w="2920" w:type="dxa"/>
            <w:tcBorders>
              <w:top w:val="single" w:sz="8" w:space="0" w:color="000000"/>
              <w:left w:val="single" w:sz="8" w:space="0" w:color="000000"/>
              <w:bottom w:val="single" w:sz="8" w:space="0" w:color="000000"/>
              <w:right w:val="single" w:sz="8" w:space="0" w:color="000000"/>
            </w:tcBorders>
            <w:vAlign w:val="center"/>
          </w:tcPr>
          <w:p w14:paraId="3CE01050" w14:textId="77777777" w:rsidR="008C2A20" w:rsidRDefault="007F547B">
            <w:pPr>
              <w:spacing w:after="0" w:line="259" w:lineRule="auto"/>
              <w:ind w:left="0" w:right="60" w:firstLine="0"/>
              <w:jc w:val="center"/>
            </w:pPr>
            <w:r>
              <w:t xml:space="preserve">VARCHAR </w:t>
            </w:r>
          </w:p>
        </w:tc>
        <w:tc>
          <w:tcPr>
            <w:tcW w:w="3160" w:type="dxa"/>
            <w:tcBorders>
              <w:top w:val="single" w:sz="8" w:space="0" w:color="000000"/>
              <w:left w:val="single" w:sz="8" w:space="0" w:color="000000"/>
              <w:bottom w:val="single" w:sz="8" w:space="0" w:color="000000"/>
              <w:right w:val="single" w:sz="8" w:space="0" w:color="000000"/>
            </w:tcBorders>
            <w:vAlign w:val="center"/>
          </w:tcPr>
          <w:p w14:paraId="7ADEA912" w14:textId="77777777" w:rsidR="008C2A20" w:rsidRDefault="007F547B">
            <w:pPr>
              <w:spacing w:after="0" w:line="259" w:lineRule="auto"/>
              <w:ind w:left="0" w:right="50" w:firstLine="0"/>
              <w:jc w:val="center"/>
            </w:pPr>
            <w:r>
              <w:t xml:space="preserve">Name of the month </w:t>
            </w:r>
          </w:p>
        </w:tc>
      </w:tr>
      <w:tr w:rsidR="008C2A20" w14:paraId="6EF2016C" w14:textId="77777777">
        <w:trPr>
          <w:trHeight w:val="540"/>
        </w:trPr>
        <w:tc>
          <w:tcPr>
            <w:tcW w:w="3403" w:type="dxa"/>
            <w:tcBorders>
              <w:top w:val="single" w:sz="8" w:space="0" w:color="000000"/>
              <w:left w:val="single" w:sz="8" w:space="0" w:color="000000"/>
              <w:bottom w:val="single" w:sz="8" w:space="0" w:color="000000"/>
              <w:right w:val="single" w:sz="8" w:space="0" w:color="000000"/>
            </w:tcBorders>
            <w:vAlign w:val="center"/>
          </w:tcPr>
          <w:p w14:paraId="37312226" w14:textId="77777777" w:rsidR="008C2A20" w:rsidRDefault="007F547B">
            <w:pPr>
              <w:spacing w:after="0" w:line="259" w:lineRule="auto"/>
              <w:ind w:left="0" w:right="67" w:firstLine="0"/>
              <w:jc w:val="center"/>
            </w:pPr>
            <w:r>
              <w:t xml:space="preserve">Quarter </w:t>
            </w:r>
          </w:p>
        </w:tc>
        <w:tc>
          <w:tcPr>
            <w:tcW w:w="2920" w:type="dxa"/>
            <w:tcBorders>
              <w:top w:val="single" w:sz="8" w:space="0" w:color="000000"/>
              <w:left w:val="single" w:sz="8" w:space="0" w:color="000000"/>
              <w:bottom w:val="single" w:sz="8" w:space="0" w:color="000000"/>
              <w:right w:val="single" w:sz="8" w:space="0" w:color="000000"/>
            </w:tcBorders>
            <w:vAlign w:val="center"/>
          </w:tcPr>
          <w:p w14:paraId="72F7EBDC" w14:textId="77777777" w:rsidR="008C2A20" w:rsidRDefault="007F547B">
            <w:pPr>
              <w:spacing w:after="0" w:line="259" w:lineRule="auto"/>
              <w:ind w:left="0" w:right="60" w:firstLine="0"/>
              <w:jc w:val="center"/>
            </w:pPr>
            <w:r>
              <w:t xml:space="preserve">INT </w:t>
            </w:r>
          </w:p>
        </w:tc>
        <w:tc>
          <w:tcPr>
            <w:tcW w:w="3160" w:type="dxa"/>
            <w:tcBorders>
              <w:top w:val="single" w:sz="8" w:space="0" w:color="000000"/>
              <w:left w:val="single" w:sz="8" w:space="0" w:color="000000"/>
              <w:bottom w:val="single" w:sz="8" w:space="0" w:color="000000"/>
              <w:right w:val="single" w:sz="8" w:space="0" w:color="000000"/>
            </w:tcBorders>
            <w:vAlign w:val="center"/>
          </w:tcPr>
          <w:p w14:paraId="2C2051E1" w14:textId="77777777" w:rsidR="008C2A20" w:rsidRDefault="007F547B">
            <w:pPr>
              <w:spacing w:after="0" w:line="259" w:lineRule="auto"/>
              <w:ind w:left="0" w:right="50" w:firstLine="0"/>
              <w:jc w:val="center"/>
            </w:pPr>
            <w:r>
              <w:t xml:space="preserve">Fiscal quarter </w:t>
            </w:r>
          </w:p>
        </w:tc>
      </w:tr>
      <w:tr w:rsidR="008C2A20" w14:paraId="09B2A98D" w14:textId="77777777">
        <w:trPr>
          <w:trHeight w:val="540"/>
        </w:trPr>
        <w:tc>
          <w:tcPr>
            <w:tcW w:w="3403" w:type="dxa"/>
            <w:tcBorders>
              <w:top w:val="single" w:sz="8" w:space="0" w:color="000000"/>
              <w:left w:val="single" w:sz="8" w:space="0" w:color="000000"/>
              <w:bottom w:val="single" w:sz="8" w:space="0" w:color="000000"/>
              <w:right w:val="single" w:sz="8" w:space="0" w:color="000000"/>
            </w:tcBorders>
            <w:vAlign w:val="center"/>
          </w:tcPr>
          <w:p w14:paraId="552D8086" w14:textId="77777777" w:rsidR="008C2A20" w:rsidRDefault="007F547B">
            <w:pPr>
              <w:spacing w:after="0" w:line="259" w:lineRule="auto"/>
              <w:ind w:left="0" w:right="67" w:firstLine="0"/>
              <w:jc w:val="center"/>
            </w:pPr>
            <w:proofErr w:type="spellStart"/>
            <w:r>
              <w:t>YearMonthLabel</w:t>
            </w:r>
            <w:proofErr w:type="spellEnd"/>
            <w:r>
              <w:t xml:space="preserve"> </w:t>
            </w:r>
          </w:p>
        </w:tc>
        <w:tc>
          <w:tcPr>
            <w:tcW w:w="2920" w:type="dxa"/>
            <w:tcBorders>
              <w:top w:val="single" w:sz="8" w:space="0" w:color="000000"/>
              <w:left w:val="single" w:sz="8" w:space="0" w:color="000000"/>
              <w:bottom w:val="single" w:sz="8" w:space="0" w:color="000000"/>
              <w:right w:val="single" w:sz="8" w:space="0" w:color="000000"/>
            </w:tcBorders>
            <w:vAlign w:val="center"/>
          </w:tcPr>
          <w:p w14:paraId="4DA86AEC" w14:textId="77777777" w:rsidR="008C2A20" w:rsidRDefault="007F547B">
            <w:pPr>
              <w:spacing w:after="0" w:line="259" w:lineRule="auto"/>
              <w:ind w:left="0" w:right="60" w:firstLine="0"/>
              <w:jc w:val="center"/>
            </w:pPr>
            <w:r>
              <w:t xml:space="preserve">VARCHAR </w:t>
            </w:r>
          </w:p>
        </w:tc>
        <w:tc>
          <w:tcPr>
            <w:tcW w:w="3160" w:type="dxa"/>
            <w:tcBorders>
              <w:top w:val="single" w:sz="8" w:space="0" w:color="000000"/>
              <w:left w:val="single" w:sz="8" w:space="0" w:color="000000"/>
              <w:bottom w:val="single" w:sz="8" w:space="0" w:color="000000"/>
              <w:right w:val="single" w:sz="8" w:space="0" w:color="000000"/>
            </w:tcBorders>
            <w:vAlign w:val="center"/>
          </w:tcPr>
          <w:p w14:paraId="511ABC32" w14:textId="77777777" w:rsidR="008C2A20" w:rsidRDefault="007F547B">
            <w:pPr>
              <w:spacing w:after="0" w:line="259" w:lineRule="auto"/>
              <w:ind w:left="0" w:right="50" w:firstLine="0"/>
              <w:jc w:val="center"/>
            </w:pPr>
            <w:r>
              <w:t xml:space="preserve">e.g., “Jan 2017” </w:t>
            </w:r>
          </w:p>
        </w:tc>
      </w:tr>
      <w:tr w:rsidR="008C2A20" w14:paraId="6E46DBD1" w14:textId="77777777">
        <w:trPr>
          <w:trHeight w:val="520"/>
        </w:trPr>
        <w:tc>
          <w:tcPr>
            <w:tcW w:w="3403" w:type="dxa"/>
            <w:tcBorders>
              <w:top w:val="single" w:sz="8" w:space="0" w:color="000000"/>
              <w:left w:val="single" w:sz="8" w:space="0" w:color="000000"/>
              <w:bottom w:val="single" w:sz="8" w:space="0" w:color="000000"/>
              <w:right w:val="single" w:sz="8" w:space="0" w:color="000000"/>
            </w:tcBorders>
            <w:vAlign w:val="center"/>
          </w:tcPr>
          <w:p w14:paraId="261F4278" w14:textId="77777777" w:rsidR="008C2A20" w:rsidRDefault="007F547B">
            <w:pPr>
              <w:spacing w:after="0" w:line="259" w:lineRule="auto"/>
              <w:ind w:left="0" w:right="67" w:firstLine="0"/>
              <w:jc w:val="center"/>
            </w:pPr>
            <w:proofErr w:type="spellStart"/>
            <w:r>
              <w:t>interest_rate</w:t>
            </w:r>
            <w:proofErr w:type="spellEnd"/>
            <w:r>
              <w:t xml:space="preserve"> </w:t>
            </w:r>
          </w:p>
        </w:tc>
        <w:tc>
          <w:tcPr>
            <w:tcW w:w="2920" w:type="dxa"/>
            <w:tcBorders>
              <w:top w:val="single" w:sz="8" w:space="0" w:color="000000"/>
              <w:left w:val="single" w:sz="8" w:space="0" w:color="000000"/>
              <w:bottom w:val="single" w:sz="8" w:space="0" w:color="000000"/>
              <w:right w:val="single" w:sz="8" w:space="0" w:color="000000"/>
            </w:tcBorders>
            <w:vAlign w:val="center"/>
          </w:tcPr>
          <w:p w14:paraId="1845AA92" w14:textId="77777777" w:rsidR="008C2A20" w:rsidRDefault="007F547B">
            <w:pPr>
              <w:spacing w:after="0" w:line="259" w:lineRule="auto"/>
              <w:ind w:left="0" w:right="60" w:firstLine="0"/>
              <w:jc w:val="center"/>
            </w:pPr>
            <w:r>
              <w:t xml:space="preserve">FLOAT </w:t>
            </w:r>
          </w:p>
        </w:tc>
        <w:tc>
          <w:tcPr>
            <w:tcW w:w="3160" w:type="dxa"/>
            <w:tcBorders>
              <w:top w:val="single" w:sz="8" w:space="0" w:color="000000"/>
              <w:left w:val="single" w:sz="8" w:space="0" w:color="000000"/>
              <w:bottom w:val="single" w:sz="8" w:space="0" w:color="000000"/>
              <w:right w:val="single" w:sz="8" w:space="0" w:color="000000"/>
            </w:tcBorders>
            <w:vAlign w:val="center"/>
          </w:tcPr>
          <w:p w14:paraId="43AD66A0" w14:textId="77777777" w:rsidR="008C2A20" w:rsidRDefault="007F547B">
            <w:pPr>
              <w:spacing w:after="0" w:line="259" w:lineRule="auto"/>
              <w:ind w:left="0" w:right="0" w:firstLine="0"/>
              <w:jc w:val="left"/>
            </w:pPr>
            <w:r>
              <w:t xml:space="preserve">Central bank rate for that month </w:t>
            </w:r>
          </w:p>
        </w:tc>
      </w:tr>
      <w:tr w:rsidR="008C2A20" w14:paraId="6FF82E17" w14:textId="77777777">
        <w:trPr>
          <w:trHeight w:val="540"/>
        </w:trPr>
        <w:tc>
          <w:tcPr>
            <w:tcW w:w="3403" w:type="dxa"/>
            <w:tcBorders>
              <w:top w:val="single" w:sz="8" w:space="0" w:color="000000"/>
              <w:left w:val="single" w:sz="8" w:space="0" w:color="000000"/>
              <w:bottom w:val="single" w:sz="8" w:space="0" w:color="000000"/>
              <w:right w:val="single" w:sz="8" w:space="0" w:color="000000"/>
            </w:tcBorders>
            <w:vAlign w:val="center"/>
          </w:tcPr>
          <w:p w14:paraId="2F6BDD02" w14:textId="77777777" w:rsidR="008C2A20" w:rsidRDefault="007F547B">
            <w:pPr>
              <w:spacing w:after="0" w:line="259" w:lineRule="auto"/>
              <w:ind w:left="0" w:right="67" w:firstLine="0"/>
              <w:jc w:val="center"/>
            </w:pPr>
            <w:proofErr w:type="spellStart"/>
            <w:r>
              <w:t>inflation_rate</w:t>
            </w:r>
            <w:proofErr w:type="spellEnd"/>
            <w:r>
              <w:t xml:space="preserve"> </w:t>
            </w:r>
          </w:p>
        </w:tc>
        <w:tc>
          <w:tcPr>
            <w:tcW w:w="2920" w:type="dxa"/>
            <w:tcBorders>
              <w:top w:val="single" w:sz="8" w:space="0" w:color="000000"/>
              <w:left w:val="single" w:sz="8" w:space="0" w:color="000000"/>
              <w:bottom w:val="single" w:sz="8" w:space="0" w:color="000000"/>
              <w:right w:val="single" w:sz="8" w:space="0" w:color="000000"/>
            </w:tcBorders>
            <w:vAlign w:val="center"/>
          </w:tcPr>
          <w:p w14:paraId="580A67C6" w14:textId="77777777" w:rsidR="008C2A20" w:rsidRDefault="007F547B">
            <w:pPr>
              <w:spacing w:after="0" w:line="259" w:lineRule="auto"/>
              <w:ind w:left="0" w:right="60" w:firstLine="0"/>
              <w:jc w:val="center"/>
            </w:pPr>
            <w:r>
              <w:t xml:space="preserve">FLOAT </w:t>
            </w:r>
          </w:p>
        </w:tc>
        <w:tc>
          <w:tcPr>
            <w:tcW w:w="3160" w:type="dxa"/>
            <w:tcBorders>
              <w:top w:val="single" w:sz="8" w:space="0" w:color="000000"/>
              <w:left w:val="single" w:sz="8" w:space="0" w:color="000000"/>
              <w:bottom w:val="single" w:sz="8" w:space="0" w:color="000000"/>
              <w:right w:val="single" w:sz="8" w:space="0" w:color="000000"/>
            </w:tcBorders>
            <w:vAlign w:val="center"/>
          </w:tcPr>
          <w:p w14:paraId="223BECCD" w14:textId="77777777" w:rsidR="008C2A20" w:rsidRDefault="007F547B">
            <w:pPr>
              <w:spacing w:after="0" w:line="259" w:lineRule="auto"/>
              <w:ind w:left="0" w:right="50" w:firstLine="0"/>
              <w:jc w:val="center"/>
            </w:pPr>
            <w:r>
              <w:t xml:space="preserve">Monthly inflation </w:t>
            </w:r>
          </w:p>
        </w:tc>
      </w:tr>
      <w:tr w:rsidR="008C2A20" w14:paraId="4E5AD34C" w14:textId="77777777">
        <w:trPr>
          <w:trHeight w:val="840"/>
        </w:trPr>
        <w:tc>
          <w:tcPr>
            <w:tcW w:w="3403" w:type="dxa"/>
            <w:tcBorders>
              <w:top w:val="single" w:sz="8" w:space="0" w:color="000000"/>
              <w:left w:val="single" w:sz="8" w:space="0" w:color="000000"/>
              <w:bottom w:val="single" w:sz="8" w:space="0" w:color="000000"/>
              <w:right w:val="single" w:sz="8" w:space="0" w:color="000000"/>
            </w:tcBorders>
          </w:tcPr>
          <w:p w14:paraId="1F0D1C59" w14:textId="77777777" w:rsidR="008C2A20" w:rsidRDefault="007F547B">
            <w:pPr>
              <w:spacing w:after="0" w:line="259" w:lineRule="auto"/>
              <w:ind w:left="0" w:right="67" w:firstLine="0"/>
              <w:jc w:val="center"/>
            </w:pPr>
            <w:proofErr w:type="spellStart"/>
            <w:r>
              <w:t>gdp_growth</w:t>
            </w:r>
            <w:proofErr w:type="spellEnd"/>
            <w:r>
              <w:t xml:space="preserve"> </w:t>
            </w:r>
          </w:p>
        </w:tc>
        <w:tc>
          <w:tcPr>
            <w:tcW w:w="2920" w:type="dxa"/>
            <w:tcBorders>
              <w:top w:val="single" w:sz="8" w:space="0" w:color="000000"/>
              <w:left w:val="single" w:sz="8" w:space="0" w:color="000000"/>
              <w:bottom w:val="single" w:sz="8" w:space="0" w:color="000000"/>
              <w:right w:val="single" w:sz="8" w:space="0" w:color="000000"/>
            </w:tcBorders>
          </w:tcPr>
          <w:p w14:paraId="55053CB3" w14:textId="77777777" w:rsidR="008C2A20" w:rsidRDefault="007F547B">
            <w:pPr>
              <w:spacing w:after="0" w:line="259" w:lineRule="auto"/>
              <w:ind w:left="0" w:right="60" w:firstLine="0"/>
              <w:jc w:val="center"/>
            </w:pPr>
            <w:r>
              <w:t xml:space="preserve">FLOAT </w:t>
            </w:r>
          </w:p>
        </w:tc>
        <w:tc>
          <w:tcPr>
            <w:tcW w:w="3160" w:type="dxa"/>
            <w:tcBorders>
              <w:top w:val="single" w:sz="8" w:space="0" w:color="000000"/>
              <w:left w:val="single" w:sz="8" w:space="0" w:color="000000"/>
              <w:bottom w:val="single" w:sz="8" w:space="0" w:color="000000"/>
              <w:right w:val="single" w:sz="8" w:space="0" w:color="000000"/>
            </w:tcBorders>
            <w:vAlign w:val="center"/>
          </w:tcPr>
          <w:p w14:paraId="44F68BF9" w14:textId="77777777" w:rsidR="008C2A20" w:rsidRDefault="007F547B">
            <w:pPr>
              <w:spacing w:after="19" w:line="259" w:lineRule="auto"/>
              <w:ind w:left="0" w:right="50" w:firstLine="0"/>
              <w:jc w:val="center"/>
            </w:pPr>
            <w:r>
              <w:t xml:space="preserve">Monthly GDP growth </w:t>
            </w:r>
          </w:p>
          <w:p w14:paraId="4164AD58" w14:textId="77777777" w:rsidR="008C2A20" w:rsidRDefault="007F547B">
            <w:pPr>
              <w:spacing w:after="0" w:line="259" w:lineRule="auto"/>
              <w:ind w:left="0" w:right="50" w:firstLine="0"/>
              <w:jc w:val="center"/>
            </w:pPr>
            <w:r>
              <w:t xml:space="preserve">(estimated) </w:t>
            </w:r>
          </w:p>
        </w:tc>
      </w:tr>
    </w:tbl>
    <w:p w14:paraId="0D68EBA5" w14:textId="77777777" w:rsidR="008C2A20" w:rsidRDefault="007F547B">
      <w:pPr>
        <w:spacing w:after="317" w:line="259" w:lineRule="auto"/>
        <w:ind w:left="0" w:right="0" w:firstLine="0"/>
        <w:jc w:val="left"/>
      </w:pPr>
      <w:r>
        <w:t xml:space="preserve"> </w:t>
      </w:r>
    </w:p>
    <w:p w14:paraId="0D24D50A" w14:textId="77777777" w:rsidR="008C2A20" w:rsidRDefault="007F547B">
      <w:pPr>
        <w:pStyle w:val="Heading2"/>
        <w:ind w:left="-5"/>
      </w:pPr>
      <w:bookmarkStart w:id="20" w:name="_Toc57564"/>
      <w:r>
        <w:t xml:space="preserve">6.4 Benefits of the Star Schema </w:t>
      </w:r>
      <w:bookmarkEnd w:id="20"/>
    </w:p>
    <w:p w14:paraId="590D87AB" w14:textId="77777777" w:rsidR="008C2A20" w:rsidRDefault="007F547B">
      <w:pPr>
        <w:numPr>
          <w:ilvl w:val="0"/>
          <w:numId w:val="17"/>
        </w:numPr>
        <w:spacing w:after="209"/>
        <w:ind w:right="439" w:hanging="360"/>
      </w:pPr>
      <w:r>
        <w:t xml:space="preserve">Efficient dimension lookups are possible because </w:t>
      </w:r>
      <w:proofErr w:type="gramStart"/>
      <w:r>
        <w:t>of  one</w:t>
      </w:r>
      <w:proofErr w:type="gramEnd"/>
      <w:r>
        <w:t xml:space="preserve">-to-many joins. </w:t>
      </w:r>
    </w:p>
    <w:p w14:paraId="771A9D4F" w14:textId="77777777" w:rsidR="008C2A20" w:rsidRDefault="007F547B">
      <w:pPr>
        <w:numPr>
          <w:ilvl w:val="0"/>
          <w:numId w:val="17"/>
        </w:numPr>
        <w:spacing w:after="209"/>
        <w:ind w:right="439" w:hanging="360"/>
      </w:pPr>
      <w:r>
        <w:t xml:space="preserve">Non-technical personnel find the structure straightforward to comprehend. </w:t>
      </w:r>
    </w:p>
    <w:p w14:paraId="5311D902" w14:textId="77777777" w:rsidR="008C2A20" w:rsidRDefault="007F547B">
      <w:pPr>
        <w:numPr>
          <w:ilvl w:val="0"/>
          <w:numId w:val="17"/>
        </w:numPr>
        <w:ind w:right="439" w:hanging="360"/>
      </w:pPr>
      <w:r>
        <w:t xml:space="preserve">The structure is designed to </w:t>
      </w:r>
      <w:proofErr w:type="gramStart"/>
      <w:r>
        <w:t>integrate  perfectly</w:t>
      </w:r>
      <w:proofErr w:type="gramEnd"/>
      <w:r>
        <w:t xml:space="preserve"> into Power BI’s relationship view. </w:t>
      </w:r>
    </w:p>
    <w:p w14:paraId="6EBEFE8F" w14:textId="77777777" w:rsidR="008C2A20" w:rsidRDefault="007F547B">
      <w:pPr>
        <w:numPr>
          <w:ilvl w:val="0"/>
          <w:numId w:val="17"/>
        </w:numPr>
        <w:ind w:right="439" w:hanging="360"/>
      </w:pPr>
      <w:r>
        <w:t xml:space="preserve">New fact or dimension tables (e.g., </w:t>
      </w:r>
      <w:proofErr w:type="gramStart"/>
      <w:r>
        <w:t>ESG  scores</w:t>
      </w:r>
      <w:proofErr w:type="gramEnd"/>
      <w:r>
        <w:t xml:space="preserve">, earnings reports) can be added without changing the existing queries. </w:t>
      </w:r>
    </w:p>
    <w:p w14:paraId="3038B62D" w14:textId="77777777" w:rsidR="008C2A20" w:rsidRDefault="007F547B">
      <w:pPr>
        <w:spacing w:after="495" w:line="259" w:lineRule="auto"/>
        <w:ind w:left="0" w:right="0" w:firstLine="0"/>
        <w:jc w:val="left"/>
      </w:pPr>
      <w:r>
        <w:t xml:space="preserve"> </w:t>
      </w:r>
    </w:p>
    <w:p w14:paraId="0AB1AA80" w14:textId="77777777" w:rsidR="008C2A20" w:rsidRDefault="007F547B">
      <w:pPr>
        <w:spacing w:after="389" w:line="259" w:lineRule="auto"/>
        <w:ind w:left="0" w:right="0" w:firstLine="0"/>
        <w:jc w:val="left"/>
      </w:pPr>
      <w:r>
        <w:rPr>
          <w:b/>
          <w:color w:val="365F91"/>
          <w:sz w:val="34"/>
        </w:rPr>
        <w:t xml:space="preserve"> </w:t>
      </w:r>
    </w:p>
    <w:p w14:paraId="5CE6B548" w14:textId="77777777" w:rsidR="008C2A20" w:rsidRDefault="007F547B">
      <w:pPr>
        <w:spacing w:after="389" w:line="259" w:lineRule="auto"/>
        <w:ind w:left="0" w:right="0" w:firstLine="0"/>
        <w:jc w:val="left"/>
      </w:pPr>
      <w:r>
        <w:rPr>
          <w:b/>
          <w:color w:val="365F91"/>
          <w:sz w:val="34"/>
        </w:rPr>
        <w:t xml:space="preserve"> </w:t>
      </w:r>
    </w:p>
    <w:p w14:paraId="19C5819F" w14:textId="77777777" w:rsidR="008C2A20" w:rsidRDefault="007F547B">
      <w:pPr>
        <w:spacing w:after="0" w:line="259" w:lineRule="auto"/>
        <w:ind w:left="0" w:right="0" w:firstLine="0"/>
        <w:jc w:val="left"/>
      </w:pPr>
      <w:r>
        <w:rPr>
          <w:b/>
          <w:color w:val="365F91"/>
          <w:sz w:val="34"/>
        </w:rPr>
        <w:t xml:space="preserve"> </w:t>
      </w:r>
    </w:p>
    <w:p w14:paraId="490A6AE8" w14:textId="77777777" w:rsidR="008C2A20" w:rsidRDefault="007F547B">
      <w:pPr>
        <w:pStyle w:val="Heading1"/>
        <w:ind w:left="-5"/>
      </w:pPr>
      <w:bookmarkStart w:id="21" w:name="_Toc57565"/>
      <w:r>
        <w:t xml:space="preserve">Section 7: Power BI Reporting and Insights </w:t>
      </w:r>
      <w:bookmarkEnd w:id="21"/>
    </w:p>
    <w:p w14:paraId="2FB41E53" w14:textId="77777777" w:rsidR="008C2A20" w:rsidRDefault="007F547B">
      <w:pPr>
        <w:spacing w:after="226"/>
        <w:ind w:right="439"/>
      </w:pPr>
      <w:r>
        <w:t xml:space="preserve">The final Power BI dashboard presents sector returns together with macroeconomic trends and trading volume </w:t>
      </w:r>
      <w:proofErr w:type="gramStart"/>
      <w:r>
        <w:t>and  individual</w:t>
      </w:r>
      <w:proofErr w:type="gramEnd"/>
      <w:r>
        <w:t xml:space="preserve"> stock performance across the 2013–2018 period. The visuals within this dashboard </w:t>
      </w:r>
      <w:proofErr w:type="gramStart"/>
      <w:r>
        <w:t>assist  Fidelity</w:t>
      </w:r>
      <w:proofErr w:type="gramEnd"/>
      <w:r>
        <w:t xml:space="preserve"> Investments’ research and portfolio strategy teams in their quick and interactive assessment of market behaviour across different </w:t>
      </w:r>
      <w:proofErr w:type="gramStart"/>
      <w:r>
        <w:t>dimensions..</w:t>
      </w:r>
      <w:proofErr w:type="gramEnd"/>
      <w:r>
        <w:t xml:space="preserve"> </w:t>
      </w:r>
    </w:p>
    <w:p w14:paraId="2BFC1A0A" w14:textId="77777777" w:rsidR="008C2A20" w:rsidRDefault="007F547B">
      <w:pPr>
        <w:spacing w:after="259" w:line="259" w:lineRule="auto"/>
        <w:ind w:left="0" w:right="0" w:firstLine="0"/>
        <w:jc w:val="right"/>
      </w:pPr>
      <w:r>
        <w:rPr>
          <w:noProof/>
        </w:rPr>
        <w:lastRenderedPageBreak/>
        <w:drawing>
          <wp:inline distT="0" distB="0" distL="0" distR="0" wp14:anchorId="2CBC12E0" wp14:editId="462CDBAA">
            <wp:extent cx="5946649" cy="3364992"/>
            <wp:effectExtent l="0" t="0" r="0" b="0"/>
            <wp:docPr id="56717" name="Picture 56717"/>
            <wp:cNvGraphicFramePr/>
            <a:graphic xmlns:a="http://schemas.openxmlformats.org/drawingml/2006/main">
              <a:graphicData uri="http://schemas.openxmlformats.org/drawingml/2006/picture">
                <pic:pic xmlns:pic="http://schemas.openxmlformats.org/drawingml/2006/picture">
                  <pic:nvPicPr>
                    <pic:cNvPr id="56717" name="Picture 56717"/>
                    <pic:cNvPicPr/>
                  </pic:nvPicPr>
                  <pic:blipFill>
                    <a:blip r:embed="rId9"/>
                    <a:stretch>
                      <a:fillRect/>
                    </a:stretch>
                  </pic:blipFill>
                  <pic:spPr>
                    <a:xfrm>
                      <a:off x="0" y="0"/>
                      <a:ext cx="5946649" cy="3364992"/>
                    </a:xfrm>
                    <a:prstGeom prst="rect">
                      <a:avLst/>
                    </a:prstGeom>
                  </pic:spPr>
                </pic:pic>
              </a:graphicData>
            </a:graphic>
          </wp:inline>
        </w:drawing>
      </w:r>
      <w:r>
        <w:t xml:space="preserve"> </w:t>
      </w:r>
    </w:p>
    <w:p w14:paraId="017FBAD8" w14:textId="77777777" w:rsidR="008C2A20" w:rsidRDefault="007F547B">
      <w:pPr>
        <w:spacing w:after="256" w:line="259" w:lineRule="auto"/>
        <w:ind w:right="444"/>
        <w:jc w:val="center"/>
      </w:pPr>
      <w:r>
        <w:rPr>
          <w:i/>
        </w:rPr>
        <w:t xml:space="preserve">Figure 3 — </w:t>
      </w:r>
      <w:proofErr w:type="spellStart"/>
      <w:r>
        <w:rPr>
          <w:i/>
        </w:rPr>
        <w:t>PowerBI</w:t>
      </w:r>
      <w:proofErr w:type="spellEnd"/>
      <w:r>
        <w:rPr>
          <w:i/>
        </w:rPr>
        <w:t xml:space="preserve"> Dashboard </w:t>
      </w:r>
    </w:p>
    <w:p w14:paraId="1C2F8F57" w14:textId="77777777" w:rsidR="008C2A20" w:rsidRDefault="007F547B">
      <w:pPr>
        <w:spacing w:after="317" w:line="259" w:lineRule="auto"/>
        <w:ind w:left="0" w:right="394" w:firstLine="0"/>
        <w:jc w:val="center"/>
      </w:pPr>
      <w:r>
        <w:rPr>
          <w:i/>
        </w:rPr>
        <w:t xml:space="preserve"> </w:t>
      </w:r>
    </w:p>
    <w:p w14:paraId="679AD026" w14:textId="77777777" w:rsidR="008C2A20" w:rsidRDefault="007F547B">
      <w:pPr>
        <w:pStyle w:val="Heading2"/>
        <w:ind w:left="-5"/>
      </w:pPr>
      <w:bookmarkStart w:id="22" w:name="_Toc57566"/>
      <w:r>
        <w:t xml:space="preserve">7.1 Monthly Return by Sector (2013–2018) </w:t>
      </w:r>
      <w:bookmarkEnd w:id="22"/>
    </w:p>
    <w:p w14:paraId="39303B74" w14:textId="77777777" w:rsidR="008C2A20" w:rsidRDefault="007F547B">
      <w:pPr>
        <w:spacing w:line="268" w:lineRule="auto"/>
        <w:ind w:left="-5" w:right="7027"/>
        <w:jc w:val="left"/>
      </w:pPr>
      <w:r>
        <w:rPr>
          <w:b/>
        </w:rPr>
        <w:t xml:space="preserve">Visual Type: </w:t>
      </w:r>
      <w:r>
        <w:t xml:space="preserve">Line </w:t>
      </w:r>
      <w:proofErr w:type="gramStart"/>
      <w:r>
        <w:t>Chart</w:t>
      </w:r>
      <w:r>
        <w:rPr>
          <w:rFonts w:ascii="Arial" w:eastAsia="Arial" w:hAnsi="Arial" w:cs="Arial"/>
        </w:rPr>
        <w:t xml:space="preserve"> </w:t>
      </w:r>
      <w:r>
        <w:rPr>
          <w:b/>
        </w:rPr>
        <w:t xml:space="preserve"> Key</w:t>
      </w:r>
      <w:proofErr w:type="gramEnd"/>
      <w:r>
        <w:rPr>
          <w:b/>
        </w:rPr>
        <w:t xml:space="preserve"> Fields: </w:t>
      </w:r>
    </w:p>
    <w:p w14:paraId="0A6593AE" w14:textId="77777777" w:rsidR="008C2A20" w:rsidRDefault="007F547B">
      <w:pPr>
        <w:numPr>
          <w:ilvl w:val="0"/>
          <w:numId w:val="18"/>
        </w:numPr>
        <w:spacing w:after="21" w:line="259" w:lineRule="auto"/>
        <w:ind w:right="0" w:hanging="360"/>
        <w:jc w:val="left"/>
      </w:pPr>
      <w:r>
        <w:t xml:space="preserve">X-axis: </w:t>
      </w:r>
      <w:proofErr w:type="spellStart"/>
      <w:r>
        <w:rPr>
          <w:color w:val="188038"/>
        </w:rPr>
        <w:t>YearMonthLabel</w:t>
      </w:r>
      <w:proofErr w:type="spellEnd"/>
      <w:r>
        <w:rPr>
          <w:color w:val="188038"/>
        </w:rPr>
        <w:t xml:space="preserve"> </w:t>
      </w:r>
    </w:p>
    <w:p w14:paraId="75DF3913" w14:textId="77777777" w:rsidR="008C2A20" w:rsidRDefault="007F547B">
      <w:pPr>
        <w:numPr>
          <w:ilvl w:val="0"/>
          <w:numId w:val="18"/>
        </w:numPr>
        <w:spacing w:after="21" w:line="259" w:lineRule="auto"/>
        <w:ind w:right="0" w:hanging="360"/>
        <w:jc w:val="left"/>
      </w:pPr>
      <w:r>
        <w:t xml:space="preserve">Y-axis: </w:t>
      </w:r>
      <w:proofErr w:type="gramStart"/>
      <w:r>
        <w:rPr>
          <w:color w:val="188038"/>
        </w:rPr>
        <w:t>AVG(</w:t>
      </w:r>
      <w:proofErr w:type="spellStart"/>
      <w:proofErr w:type="gramEnd"/>
      <w:r>
        <w:rPr>
          <w:color w:val="188038"/>
        </w:rPr>
        <w:t>monthly_return</w:t>
      </w:r>
      <w:proofErr w:type="spellEnd"/>
      <w:r>
        <w:rPr>
          <w:color w:val="188038"/>
        </w:rPr>
        <w:t xml:space="preserve">) </w:t>
      </w:r>
    </w:p>
    <w:p w14:paraId="0F9D76F5" w14:textId="77777777" w:rsidR="008C2A20" w:rsidRDefault="007F547B">
      <w:pPr>
        <w:numPr>
          <w:ilvl w:val="0"/>
          <w:numId w:val="18"/>
        </w:numPr>
        <w:ind w:right="0" w:hanging="360"/>
        <w:jc w:val="left"/>
      </w:pPr>
      <w:r>
        <w:t xml:space="preserve">Legend: </w:t>
      </w:r>
      <w:r>
        <w:rPr>
          <w:color w:val="188038"/>
        </w:rPr>
        <w:t xml:space="preserve">Sector </w:t>
      </w:r>
    </w:p>
    <w:p w14:paraId="26E93B98" w14:textId="77777777" w:rsidR="008C2A20" w:rsidRDefault="007F547B">
      <w:pPr>
        <w:ind w:right="439"/>
      </w:pPr>
      <w:r>
        <w:rPr>
          <w:b/>
        </w:rPr>
        <w:t>Insight:</w:t>
      </w:r>
      <w:r>
        <w:t xml:space="preserve"> </w:t>
      </w:r>
      <w:proofErr w:type="gramStart"/>
      <w:r>
        <w:t>Technology,  Consumer</w:t>
      </w:r>
      <w:proofErr w:type="gramEnd"/>
      <w:r>
        <w:t xml:space="preserve"> Discretionary, and Finance sectors showed strong but volatile performance while Utilities and Health Care sectors </w:t>
      </w:r>
      <w:proofErr w:type="gramStart"/>
      <w:r>
        <w:t>provided  stable</w:t>
      </w:r>
      <w:proofErr w:type="gramEnd"/>
      <w:r>
        <w:t xml:space="preserve"> yet lower returns. </w:t>
      </w:r>
    </w:p>
    <w:p w14:paraId="5C9FFE99" w14:textId="77777777" w:rsidR="008C2A20" w:rsidRDefault="007F547B">
      <w:pPr>
        <w:ind w:right="439"/>
      </w:pPr>
      <w:r>
        <w:rPr>
          <w:b/>
        </w:rPr>
        <w:t>Use Case:</w:t>
      </w:r>
      <w:r>
        <w:t xml:space="preserve"> The Fidelity sector strategists can use this </w:t>
      </w:r>
      <w:proofErr w:type="gramStart"/>
      <w:r>
        <w:t>to  rebalance</w:t>
      </w:r>
      <w:proofErr w:type="gramEnd"/>
      <w:r>
        <w:t xml:space="preserve"> their portfolios based on historical sector patterns and select sectors that perform well during low-rate periods </w:t>
      </w:r>
      <w:proofErr w:type="gramStart"/>
      <w:r>
        <w:t>or  market</w:t>
      </w:r>
      <w:proofErr w:type="gramEnd"/>
      <w:r>
        <w:t xml:space="preserve"> recovery times. </w:t>
      </w:r>
    </w:p>
    <w:p w14:paraId="00F71F42" w14:textId="77777777" w:rsidR="008C2A20" w:rsidRDefault="007F547B">
      <w:pPr>
        <w:spacing w:after="154" w:line="259" w:lineRule="auto"/>
        <w:ind w:left="965" w:right="0" w:firstLine="0"/>
        <w:jc w:val="left"/>
      </w:pPr>
      <w:r>
        <w:rPr>
          <w:noProof/>
        </w:rPr>
        <w:lastRenderedPageBreak/>
        <w:drawing>
          <wp:inline distT="0" distB="0" distL="0" distR="0" wp14:anchorId="41F3DCC1" wp14:editId="4368A357">
            <wp:extent cx="4511040" cy="2785872"/>
            <wp:effectExtent l="0" t="0" r="0" b="0"/>
            <wp:docPr id="56718" name="Picture 56718"/>
            <wp:cNvGraphicFramePr/>
            <a:graphic xmlns:a="http://schemas.openxmlformats.org/drawingml/2006/main">
              <a:graphicData uri="http://schemas.openxmlformats.org/drawingml/2006/picture">
                <pic:pic xmlns:pic="http://schemas.openxmlformats.org/drawingml/2006/picture">
                  <pic:nvPicPr>
                    <pic:cNvPr id="56718" name="Picture 56718"/>
                    <pic:cNvPicPr/>
                  </pic:nvPicPr>
                  <pic:blipFill>
                    <a:blip r:embed="rId10"/>
                    <a:stretch>
                      <a:fillRect/>
                    </a:stretch>
                  </pic:blipFill>
                  <pic:spPr>
                    <a:xfrm>
                      <a:off x="0" y="0"/>
                      <a:ext cx="4511040" cy="2785872"/>
                    </a:xfrm>
                    <a:prstGeom prst="rect">
                      <a:avLst/>
                    </a:prstGeom>
                  </pic:spPr>
                </pic:pic>
              </a:graphicData>
            </a:graphic>
          </wp:inline>
        </w:drawing>
      </w:r>
    </w:p>
    <w:p w14:paraId="2376DB21" w14:textId="77777777" w:rsidR="008C2A20" w:rsidRDefault="007F547B">
      <w:pPr>
        <w:spacing w:after="317" w:line="259" w:lineRule="auto"/>
        <w:ind w:right="494"/>
        <w:jc w:val="center"/>
      </w:pPr>
      <w:r>
        <w:rPr>
          <w:i/>
        </w:rPr>
        <w:t xml:space="preserve">Figure 4 - Line Chart </w:t>
      </w:r>
      <w:r>
        <w:t xml:space="preserve"> </w:t>
      </w:r>
    </w:p>
    <w:p w14:paraId="21C144A7" w14:textId="77777777" w:rsidR="008C2A20" w:rsidRDefault="007F547B">
      <w:pPr>
        <w:pStyle w:val="Heading2"/>
        <w:ind w:left="-5"/>
      </w:pPr>
      <w:bookmarkStart w:id="23" w:name="_Toc57567"/>
      <w:r>
        <w:t xml:space="preserve">7.2 Interest Rates vs </w:t>
      </w:r>
      <w:proofErr w:type="spellStart"/>
      <w:r>
        <w:t>Avg</w:t>
      </w:r>
      <w:proofErr w:type="spellEnd"/>
      <w:r>
        <w:t xml:space="preserve"> Monthly Return (2013–2018) </w:t>
      </w:r>
      <w:bookmarkEnd w:id="23"/>
    </w:p>
    <w:p w14:paraId="0E737A79" w14:textId="77777777" w:rsidR="008C2A20" w:rsidRDefault="007F547B">
      <w:pPr>
        <w:spacing w:line="268" w:lineRule="auto"/>
        <w:ind w:left="-5" w:right="5693"/>
        <w:jc w:val="left"/>
      </w:pPr>
      <w:r>
        <w:rPr>
          <w:b/>
        </w:rPr>
        <w:t xml:space="preserve">Visual Type: </w:t>
      </w:r>
      <w:r>
        <w:t xml:space="preserve">Combo Chart (Bar + </w:t>
      </w:r>
      <w:proofErr w:type="gramStart"/>
      <w:r>
        <w:t>Line)</w:t>
      </w:r>
      <w:r>
        <w:rPr>
          <w:rFonts w:ascii="Arial" w:eastAsia="Arial" w:hAnsi="Arial" w:cs="Arial"/>
        </w:rPr>
        <w:t xml:space="preserve"> </w:t>
      </w:r>
      <w:r>
        <w:rPr>
          <w:b/>
        </w:rPr>
        <w:t xml:space="preserve"> Key</w:t>
      </w:r>
      <w:proofErr w:type="gramEnd"/>
      <w:r>
        <w:rPr>
          <w:b/>
        </w:rPr>
        <w:t xml:space="preserve"> Fields: </w:t>
      </w:r>
    </w:p>
    <w:p w14:paraId="7F2E2DD6" w14:textId="77777777" w:rsidR="008C2A20" w:rsidRDefault="007F547B">
      <w:pPr>
        <w:numPr>
          <w:ilvl w:val="0"/>
          <w:numId w:val="19"/>
        </w:numPr>
        <w:spacing w:after="21" w:line="259" w:lineRule="auto"/>
        <w:ind w:right="0" w:hanging="360"/>
        <w:jc w:val="left"/>
      </w:pPr>
      <w:r>
        <w:t xml:space="preserve">Bar: </w:t>
      </w:r>
      <w:proofErr w:type="gramStart"/>
      <w:r>
        <w:rPr>
          <w:color w:val="188038"/>
        </w:rPr>
        <w:t>AVG(</w:t>
      </w:r>
      <w:proofErr w:type="spellStart"/>
      <w:proofErr w:type="gramEnd"/>
      <w:r>
        <w:rPr>
          <w:color w:val="188038"/>
        </w:rPr>
        <w:t>monthly_return</w:t>
      </w:r>
      <w:proofErr w:type="spellEnd"/>
      <w:r>
        <w:rPr>
          <w:color w:val="188038"/>
        </w:rPr>
        <w:t xml:space="preserve">) </w:t>
      </w:r>
    </w:p>
    <w:p w14:paraId="29A163F1" w14:textId="77777777" w:rsidR="008C2A20" w:rsidRDefault="007F547B">
      <w:pPr>
        <w:numPr>
          <w:ilvl w:val="0"/>
          <w:numId w:val="19"/>
        </w:numPr>
        <w:spacing w:after="21" w:line="259" w:lineRule="auto"/>
        <w:ind w:right="0" w:hanging="360"/>
        <w:jc w:val="left"/>
      </w:pPr>
      <w:r>
        <w:t xml:space="preserve">Line: </w:t>
      </w:r>
      <w:proofErr w:type="gramStart"/>
      <w:r>
        <w:rPr>
          <w:color w:val="188038"/>
        </w:rPr>
        <w:t>AVG(</w:t>
      </w:r>
      <w:proofErr w:type="spellStart"/>
      <w:proofErr w:type="gramEnd"/>
      <w:r>
        <w:rPr>
          <w:color w:val="188038"/>
        </w:rPr>
        <w:t>interest_rate</w:t>
      </w:r>
      <w:proofErr w:type="spellEnd"/>
      <w:r>
        <w:rPr>
          <w:color w:val="188038"/>
        </w:rPr>
        <w:t xml:space="preserve">) </w:t>
      </w:r>
    </w:p>
    <w:p w14:paraId="2F83D3B7" w14:textId="77777777" w:rsidR="008C2A20" w:rsidRDefault="007F547B">
      <w:pPr>
        <w:numPr>
          <w:ilvl w:val="0"/>
          <w:numId w:val="19"/>
        </w:numPr>
        <w:spacing w:after="11"/>
        <w:ind w:right="0" w:hanging="360"/>
        <w:jc w:val="left"/>
      </w:pPr>
      <w:r>
        <w:t xml:space="preserve">X-axis: </w:t>
      </w:r>
      <w:r>
        <w:rPr>
          <w:color w:val="188038"/>
        </w:rPr>
        <w:t>Year</w:t>
      </w:r>
      <w:r>
        <w:rPr>
          <w:rFonts w:ascii="Arial" w:eastAsia="Arial" w:hAnsi="Arial" w:cs="Arial"/>
          <w:color w:val="188038"/>
        </w:rPr>
        <w:t xml:space="preserve"> </w:t>
      </w:r>
    </w:p>
    <w:p w14:paraId="6F5DF20A" w14:textId="77777777" w:rsidR="008C2A20" w:rsidRDefault="007F547B">
      <w:pPr>
        <w:spacing w:after="259" w:line="259" w:lineRule="auto"/>
        <w:ind w:left="720" w:right="0" w:firstLine="0"/>
        <w:jc w:val="left"/>
      </w:pPr>
      <w:r>
        <w:rPr>
          <w:color w:val="188038"/>
        </w:rPr>
        <w:t xml:space="preserve"> </w:t>
      </w:r>
    </w:p>
    <w:p w14:paraId="021B4C51" w14:textId="77777777" w:rsidR="008C2A20" w:rsidRDefault="007F547B">
      <w:pPr>
        <w:ind w:right="439"/>
      </w:pPr>
      <w:r>
        <w:rPr>
          <w:b/>
        </w:rPr>
        <w:t xml:space="preserve">Insight: </w:t>
      </w:r>
      <w:r>
        <w:t xml:space="preserve">Interest rates and market returns showed an apparent negative relationship </w:t>
      </w:r>
      <w:proofErr w:type="gramStart"/>
      <w:r>
        <w:t>because  consumer</w:t>
      </w:r>
      <w:proofErr w:type="gramEnd"/>
      <w:r>
        <w:t xml:space="preserve"> sector returns decreased when interest rates increased during 2017–2018. </w:t>
      </w:r>
    </w:p>
    <w:p w14:paraId="6C4B7B71" w14:textId="77777777" w:rsidR="008C2A20" w:rsidRDefault="007F547B">
      <w:pPr>
        <w:ind w:right="439"/>
      </w:pPr>
      <w:r>
        <w:rPr>
          <w:b/>
        </w:rPr>
        <w:t xml:space="preserve">Use Case: </w:t>
      </w:r>
      <w:r>
        <w:t xml:space="preserve">Economists at Fidelity will employ this visual to predict interest rate scenarios and how they </w:t>
      </w:r>
      <w:proofErr w:type="gramStart"/>
      <w:r>
        <w:t>affect  portfolio</w:t>
      </w:r>
      <w:proofErr w:type="gramEnd"/>
      <w:r>
        <w:t xml:space="preserve"> returns specifically in macro-sensitive sectors.</w:t>
      </w:r>
      <w:r>
        <w:rPr>
          <w:rFonts w:ascii="Arial" w:eastAsia="Arial" w:hAnsi="Arial" w:cs="Arial"/>
        </w:rPr>
        <w:t xml:space="preserve"> </w:t>
      </w:r>
      <w:r>
        <w:t xml:space="preserve"> </w:t>
      </w:r>
    </w:p>
    <w:p w14:paraId="26CB8ADA" w14:textId="77777777" w:rsidR="008C2A20" w:rsidRDefault="007F547B">
      <w:pPr>
        <w:pStyle w:val="Heading4"/>
        <w:tabs>
          <w:tab w:val="center" w:pos="4294"/>
          <w:tab w:val="center" w:pos="6673"/>
        </w:tabs>
        <w:spacing w:after="0"/>
        <w:ind w:left="0" w:firstLine="0"/>
      </w:pPr>
      <w:r>
        <w:rPr>
          <w:b w:val="0"/>
          <w:sz w:val="22"/>
          <w:u w:val="none"/>
        </w:rPr>
        <w:lastRenderedPageBreak/>
        <w:tab/>
      </w:r>
      <w:r>
        <w:rPr>
          <w:b w:val="0"/>
          <w:i/>
          <w:sz w:val="22"/>
          <w:u w:val="none"/>
        </w:rPr>
        <w:t>Figure 5 - Combo Chart (Bar and Line Chart)</w:t>
      </w:r>
      <w:r>
        <w:rPr>
          <w:rFonts w:ascii="Arial" w:eastAsia="Arial" w:hAnsi="Arial" w:cs="Arial"/>
          <w:b w:val="0"/>
          <w:sz w:val="22"/>
          <w:u w:val="none"/>
        </w:rPr>
        <w:t xml:space="preserve"> </w:t>
      </w:r>
      <w:r>
        <w:rPr>
          <w:rFonts w:ascii="Arial" w:eastAsia="Arial" w:hAnsi="Arial" w:cs="Arial"/>
          <w:b w:val="0"/>
          <w:sz w:val="22"/>
          <w:u w:val="none"/>
        </w:rPr>
        <w:tab/>
      </w:r>
      <w:r>
        <w:rPr>
          <w:b w:val="0"/>
          <w:sz w:val="22"/>
          <w:u w:val="none"/>
        </w:rPr>
        <w:t xml:space="preserve"> </w:t>
      </w:r>
    </w:p>
    <w:p w14:paraId="699A8DDB" w14:textId="77777777" w:rsidR="008C2A20" w:rsidRDefault="007F547B">
      <w:pPr>
        <w:spacing w:after="0" w:line="259" w:lineRule="auto"/>
        <w:ind w:left="1110" w:right="0" w:firstLine="0"/>
        <w:jc w:val="left"/>
      </w:pPr>
      <w:r>
        <w:rPr>
          <w:noProof/>
        </w:rPr>
        <w:drawing>
          <wp:inline distT="0" distB="0" distL="0" distR="0" wp14:anchorId="204F2889" wp14:editId="17D2C0C7">
            <wp:extent cx="4314825" cy="2962275"/>
            <wp:effectExtent l="0" t="0" r="0" b="0"/>
            <wp:docPr id="6205" name="Picture 6205"/>
            <wp:cNvGraphicFramePr/>
            <a:graphic xmlns:a="http://schemas.openxmlformats.org/drawingml/2006/main">
              <a:graphicData uri="http://schemas.openxmlformats.org/drawingml/2006/picture">
                <pic:pic xmlns:pic="http://schemas.openxmlformats.org/drawingml/2006/picture">
                  <pic:nvPicPr>
                    <pic:cNvPr id="6205" name="Picture 6205"/>
                    <pic:cNvPicPr/>
                  </pic:nvPicPr>
                  <pic:blipFill>
                    <a:blip r:embed="rId11"/>
                    <a:stretch>
                      <a:fillRect/>
                    </a:stretch>
                  </pic:blipFill>
                  <pic:spPr>
                    <a:xfrm>
                      <a:off x="0" y="0"/>
                      <a:ext cx="4314825" cy="2962275"/>
                    </a:xfrm>
                    <a:prstGeom prst="rect">
                      <a:avLst/>
                    </a:prstGeom>
                  </pic:spPr>
                </pic:pic>
              </a:graphicData>
            </a:graphic>
          </wp:inline>
        </w:drawing>
      </w:r>
    </w:p>
    <w:p w14:paraId="69410165" w14:textId="77777777" w:rsidR="008C2A20" w:rsidRDefault="007F547B">
      <w:pPr>
        <w:pStyle w:val="Heading2"/>
        <w:ind w:left="-5"/>
      </w:pPr>
      <w:bookmarkStart w:id="24" w:name="_Toc57568"/>
      <w:r>
        <w:t xml:space="preserve">7.3 Top 10 &amp; Bottom 10 Performing Stocks (2013–2018) </w:t>
      </w:r>
      <w:bookmarkEnd w:id="24"/>
    </w:p>
    <w:p w14:paraId="7DDF5CAD" w14:textId="77777777" w:rsidR="008C2A20" w:rsidRDefault="007F547B">
      <w:pPr>
        <w:spacing w:line="268" w:lineRule="auto"/>
        <w:ind w:left="-5" w:right="6551"/>
        <w:jc w:val="left"/>
      </w:pPr>
      <w:r>
        <w:rPr>
          <w:b/>
        </w:rPr>
        <w:t xml:space="preserve">Visual Type: </w:t>
      </w:r>
      <w:r>
        <w:t xml:space="preserve">Dual Bar </w:t>
      </w:r>
      <w:proofErr w:type="gramStart"/>
      <w:r>
        <w:t>Charts</w:t>
      </w:r>
      <w:r>
        <w:rPr>
          <w:rFonts w:ascii="Arial" w:eastAsia="Arial" w:hAnsi="Arial" w:cs="Arial"/>
        </w:rPr>
        <w:t xml:space="preserve"> </w:t>
      </w:r>
      <w:r>
        <w:rPr>
          <w:b/>
        </w:rPr>
        <w:t xml:space="preserve"> Key</w:t>
      </w:r>
      <w:proofErr w:type="gramEnd"/>
      <w:r>
        <w:rPr>
          <w:b/>
        </w:rPr>
        <w:t xml:space="preserve"> Fields: </w:t>
      </w:r>
    </w:p>
    <w:p w14:paraId="7CF342A5" w14:textId="77777777" w:rsidR="008C2A20" w:rsidRDefault="007F547B">
      <w:pPr>
        <w:numPr>
          <w:ilvl w:val="0"/>
          <w:numId w:val="20"/>
        </w:numPr>
        <w:spacing w:after="21" w:line="259" w:lineRule="auto"/>
        <w:ind w:right="439" w:hanging="360"/>
      </w:pPr>
      <w:r>
        <w:t xml:space="preserve">X-axis: </w:t>
      </w:r>
      <w:proofErr w:type="gramStart"/>
      <w:r>
        <w:rPr>
          <w:color w:val="188038"/>
        </w:rPr>
        <w:t>AVG(</w:t>
      </w:r>
      <w:proofErr w:type="spellStart"/>
      <w:proofErr w:type="gramEnd"/>
      <w:r>
        <w:rPr>
          <w:color w:val="188038"/>
        </w:rPr>
        <w:t>monthly_return</w:t>
      </w:r>
      <w:proofErr w:type="spellEnd"/>
      <w:r>
        <w:rPr>
          <w:color w:val="188038"/>
        </w:rPr>
        <w:t xml:space="preserve">) </w:t>
      </w:r>
    </w:p>
    <w:p w14:paraId="1B50A011" w14:textId="77777777" w:rsidR="008C2A20" w:rsidRDefault="007F547B">
      <w:pPr>
        <w:numPr>
          <w:ilvl w:val="0"/>
          <w:numId w:val="20"/>
        </w:numPr>
        <w:spacing w:after="10"/>
        <w:ind w:right="439" w:hanging="360"/>
      </w:pPr>
      <w:r>
        <w:t xml:space="preserve">Y-axis: </w:t>
      </w:r>
      <w:r>
        <w:rPr>
          <w:color w:val="188038"/>
        </w:rPr>
        <w:t xml:space="preserve">Ticker </w:t>
      </w:r>
    </w:p>
    <w:p w14:paraId="7F1963D8" w14:textId="77777777" w:rsidR="008C2A20" w:rsidRDefault="007F547B">
      <w:pPr>
        <w:numPr>
          <w:ilvl w:val="0"/>
          <w:numId w:val="20"/>
        </w:numPr>
        <w:ind w:right="439" w:hanging="360"/>
      </w:pPr>
      <w:r>
        <w:t xml:space="preserve">Filter: Top N &amp; Bottom N = 10 </w:t>
      </w:r>
    </w:p>
    <w:p w14:paraId="0C18541A" w14:textId="77777777" w:rsidR="008C2A20" w:rsidRDefault="007F547B">
      <w:pPr>
        <w:ind w:right="439"/>
      </w:pPr>
      <w:r>
        <w:rPr>
          <w:b/>
        </w:rPr>
        <w:t xml:space="preserve">Insight: </w:t>
      </w:r>
      <w:proofErr w:type="gramStart"/>
      <w:r>
        <w:t>The  top</w:t>
      </w:r>
      <w:proofErr w:type="gramEnd"/>
      <w:r>
        <w:t xml:space="preserve"> performers included technology-driven NVDA and NFLX while underperformers focused on energy and legacy </w:t>
      </w:r>
      <w:proofErr w:type="gramStart"/>
      <w:r>
        <w:t>manufacturing  stocks</w:t>
      </w:r>
      <w:proofErr w:type="gramEnd"/>
      <w:r>
        <w:t xml:space="preserve">. </w:t>
      </w:r>
    </w:p>
    <w:p w14:paraId="1C5F1C06" w14:textId="77777777" w:rsidR="008C2A20" w:rsidRDefault="007F547B">
      <w:pPr>
        <w:spacing w:after="5"/>
        <w:ind w:right="439"/>
      </w:pPr>
      <w:r>
        <w:rPr>
          <w:b/>
        </w:rPr>
        <w:t xml:space="preserve">Use Case: </w:t>
      </w:r>
      <w:r>
        <w:t xml:space="preserve">Equity analysts who work at Fidelity can use this dashboard to </w:t>
      </w:r>
      <w:proofErr w:type="gramStart"/>
      <w:r>
        <w:t>measure  their</w:t>
      </w:r>
      <w:proofErr w:type="gramEnd"/>
      <w:r>
        <w:t xml:space="preserve"> fund performance against top-performing stocks while monitoring underperforming stocks for possible divestment </w:t>
      </w:r>
      <w:proofErr w:type="gramStart"/>
      <w:r>
        <w:t>or  strategic</w:t>
      </w:r>
      <w:proofErr w:type="gramEnd"/>
      <w:r>
        <w:t xml:space="preserve"> evaluation. </w:t>
      </w:r>
    </w:p>
    <w:p w14:paraId="07C2DCF6" w14:textId="77777777" w:rsidR="008C2A20" w:rsidRDefault="007F547B">
      <w:pPr>
        <w:spacing w:after="64" w:line="259" w:lineRule="auto"/>
        <w:ind w:left="30" w:right="0" w:firstLine="0"/>
        <w:jc w:val="left"/>
      </w:pPr>
      <w:r>
        <w:rPr>
          <w:noProof/>
        </w:rPr>
        <w:drawing>
          <wp:inline distT="0" distB="0" distL="0" distR="0" wp14:anchorId="0B3A3DD4" wp14:editId="5462B5F2">
            <wp:extent cx="5734050" cy="2743200"/>
            <wp:effectExtent l="0" t="0" r="0" b="0"/>
            <wp:docPr id="6525" name="Picture 6525"/>
            <wp:cNvGraphicFramePr/>
            <a:graphic xmlns:a="http://schemas.openxmlformats.org/drawingml/2006/main">
              <a:graphicData uri="http://schemas.openxmlformats.org/drawingml/2006/picture">
                <pic:pic xmlns:pic="http://schemas.openxmlformats.org/drawingml/2006/picture">
                  <pic:nvPicPr>
                    <pic:cNvPr id="6525" name="Picture 6525"/>
                    <pic:cNvPicPr/>
                  </pic:nvPicPr>
                  <pic:blipFill>
                    <a:blip r:embed="rId12"/>
                    <a:stretch>
                      <a:fillRect/>
                    </a:stretch>
                  </pic:blipFill>
                  <pic:spPr>
                    <a:xfrm>
                      <a:off x="0" y="0"/>
                      <a:ext cx="5734050" cy="2743200"/>
                    </a:xfrm>
                    <a:prstGeom prst="rect">
                      <a:avLst/>
                    </a:prstGeom>
                  </pic:spPr>
                </pic:pic>
              </a:graphicData>
            </a:graphic>
          </wp:inline>
        </w:drawing>
      </w:r>
    </w:p>
    <w:p w14:paraId="59A3877B" w14:textId="77777777" w:rsidR="008C2A20" w:rsidRDefault="007F547B">
      <w:pPr>
        <w:tabs>
          <w:tab w:val="center" w:pos="4170"/>
          <w:tab w:val="center" w:pos="5953"/>
        </w:tabs>
        <w:spacing w:after="317" w:line="259" w:lineRule="auto"/>
        <w:ind w:left="0" w:right="0" w:firstLine="0"/>
        <w:jc w:val="left"/>
      </w:pPr>
      <w:r>
        <w:tab/>
      </w:r>
      <w:r>
        <w:rPr>
          <w:i/>
        </w:rPr>
        <w:t>Figure 6 - Dual Bar Chart</w:t>
      </w:r>
      <w:r>
        <w:rPr>
          <w:rFonts w:ascii="Arial" w:eastAsia="Arial" w:hAnsi="Arial" w:cs="Arial"/>
        </w:rPr>
        <w:t xml:space="preserve"> </w:t>
      </w:r>
      <w:r>
        <w:rPr>
          <w:rFonts w:ascii="Arial" w:eastAsia="Arial" w:hAnsi="Arial" w:cs="Arial"/>
        </w:rPr>
        <w:tab/>
      </w:r>
      <w:r>
        <w:t xml:space="preserve"> </w:t>
      </w:r>
    </w:p>
    <w:p w14:paraId="719169C6" w14:textId="77777777" w:rsidR="008C2A20" w:rsidRDefault="007F547B">
      <w:pPr>
        <w:pStyle w:val="Heading2"/>
        <w:ind w:left="-5"/>
      </w:pPr>
      <w:bookmarkStart w:id="25" w:name="_Toc57569"/>
      <w:r>
        <w:lastRenderedPageBreak/>
        <w:t xml:space="preserve">7.4 Top Industries by </w:t>
      </w:r>
      <w:proofErr w:type="spellStart"/>
      <w:r>
        <w:t>Avg</w:t>
      </w:r>
      <w:proofErr w:type="spellEnd"/>
      <w:r>
        <w:t xml:space="preserve"> Monthly Return </w:t>
      </w:r>
      <w:bookmarkEnd w:id="25"/>
    </w:p>
    <w:p w14:paraId="7293C6F0" w14:textId="77777777" w:rsidR="008C2A20" w:rsidRDefault="007F547B">
      <w:pPr>
        <w:spacing w:line="268" w:lineRule="auto"/>
        <w:ind w:left="-5" w:right="6839"/>
        <w:jc w:val="left"/>
      </w:pPr>
      <w:r>
        <w:rPr>
          <w:b/>
        </w:rPr>
        <w:t xml:space="preserve">Visual Type: </w:t>
      </w:r>
      <w:r>
        <w:t xml:space="preserve">Donut </w:t>
      </w:r>
      <w:proofErr w:type="gramStart"/>
      <w:r>
        <w:t>Chart</w:t>
      </w:r>
      <w:r>
        <w:rPr>
          <w:rFonts w:ascii="Arial" w:eastAsia="Arial" w:hAnsi="Arial" w:cs="Arial"/>
        </w:rPr>
        <w:t xml:space="preserve"> </w:t>
      </w:r>
      <w:r>
        <w:rPr>
          <w:b/>
        </w:rPr>
        <w:t xml:space="preserve"> Key</w:t>
      </w:r>
      <w:proofErr w:type="gramEnd"/>
      <w:r>
        <w:rPr>
          <w:b/>
        </w:rPr>
        <w:t xml:space="preserve"> Fields: </w:t>
      </w:r>
    </w:p>
    <w:p w14:paraId="2A43E8B0" w14:textId="77777777" w:rsidR="008C2A20" w:rsidRDefault="007F547B">
      <w:pPr>
        <w:numPr>
          <w:ilvl w:val="0"/>
          <w:numId w:val="21"/>
        </w:numPr>
        <w:spacing w:after="21" w:line="259" w:lineRule="auto"/>
        <w:ind w:right="0" w:hanging="360"/>
        <w:jc w:val="left"/>
      </w:pPr>
      <w:r>
        <w:t xml:space="preserve">Legend: </w:t>
      </w:r>
      <w:r>
        <w:rPr>
          <w:color w:val="188038"/>
        </w:rPr>
        <w:t xml:space="preserve">Industry </w:t>
      </w:r>
    </w:p>
    <w:p w14:paraId="0A427963" w14:textId="77777777" w:rsidR="008C2A20" w:rsidRDefault="007F547B">
      <w:pPr>
        <w:numPr>
          <w:ilvl w:val="0"/>
          <w:numId w:val="21"/>
        </w:numPr>
        <w:spacing w:after="260" w:line="259" w:lineRule="auto"/>
        <w:ind w:right="0" w:hanging="360"/>
        <w:jc w:val="left"/>
      </w:pPr>
      <w:r>
        <w:t xml:space="preserve">Values: </w:t>
      </w:r>
      <w:proofErr w:type="gramStart"/>
      <w:r>
        <w:rPr>
          <w:color w:val="188038"/>
        </w:rPr>
        <w:t>AVG(</w:t>
      </w:r>
      <w:proofErr w:type="spellStart"/>
      <w:proofErr w:type="gramEnd"/>
      <w:r>
        <w:rPr>
          <w:color w:val="188038"/>
        </w:rPr>
        <w:t>monthly_return</w:t>
      </w:r>
      <w:proofErr w:type="spellEnd"/>
      <w:r>
        <w:rPr>
          <w:color w:val="188038"/>
        </w:rPr>
        <w:t xml:space="preserve">) </w:t>
      </w:r>
    </w:p>
    <w:p w14:paraId="33378F73" w14:textId="77777777" w:rsidR="008C2A20" w:rsidRDefault="007F547B">
      <w:pPr>
        <w:spacing w:after="239" w:line="277" w:lineRule="auto"/>
        <w:ind w:left="-15" w:right="299" w:firstLine="0"/>
        <w:jc w:val="left"/>
      </w:pPr>
      <w:r>
        <w:rPr>
          <w:b/>
        </w:rPr>
        <w:t xml:space="preserve">Insight: </w:t>
      </w:r>
      <w:r>
        <w:t xml:space="preserve">The </w:t>
      </w:r>
      <w:proofErr w:type="gramStart"/>
      <w:r>
        <w:t>Semiconductors,  Biotech</w:t>
      </w:r>
      <w:proofErr w:type="gramEnd"/>
      <w:r>
        <w:t xml:space="preserve">, and Software industries provided continuous high returns to investors. The visual provides detailed analysis of specific </w:t>
      </w:r>
      <w:proofErr w:type="gramStart"/>
      <w:r>
        <w:t>industries  which</w:t>
      </w:r>
      <w:proofErr w:type="gramEnd"/>
      <w:r>
        <w:t xml:space="preserve"> goes beyond sector-level performance. </w:t>
      </w:r>
    </w:p>
    <w:p w14:paraId="7587095D" w14:textId="77777777" w:rsidR="008C2A20" w:rsidRDefault="007F547B">
      <w:pPr>
        <w:ind w:right="439"/>
      </w:pPr>
      <w:r>
        <w:rPr>
          <w:b/>
        </w:rPr>
        <w:t xml:space="preserve">Use Case: </w:t>
      </w:r>
      <w:r>
        <w:t xml:space="preserve">Thematically focused fund managers and </w:t>
      </w:r>
      <w:proofErr w:type="gramStart"/>
      <w:r>
        <w:t>innovation  fund</w:t>
      </w:r>
      <w:proofErr w:type="gramEnd"/>
      <w:r>
        <w:t xml:space="preserve"> leaders at Fidelity use this dashboard to direct investments toward high-growth business sectors. </w:t>
      </w:r>
    </w:p>
    <w:p w14:paraId="587F25C7" w14:textId="77777777" w:rsidR="008C2A20" w:rsidRDefault="007F547B">
      <w:pPr>
        <w:spacing w:after="302" w:line="259" w:lineRule="auto"/>
        <w:ind w:left="0" w:right="1105" w:firstLine="0"/>
        <w:jc w:val="right"/>
      </w:pPr>
      <w:r>
        <w:rPr>
          <w:noProof/>
        </w:rPr>
        <w:drawing>
          <wp:inline distT="0" distB="0" distL="0" distR="0" wp14:anchorId="69EAED23" wp14:editId="74984AF4">
            <wp:extent cx="4791075" cy="2895600"/>
            <wp:effectExtent l="0" t="0" r="0" b="0"/>
            <wp:docPr id="6688" name="Picture 6688"/>
            <wp:cNvGraphicFramePr/>
            <a:graphic xmlns:a="http://schemas.openxmlformats.org/drawingml/2006/main">
              <a:graphicData uri="http://schemas.openxmlformats.org/drawingml/2006/picture">
                <pic:pic xmlns:pic="http://schemas.openxmlformats.org/drawingml/2006/picture">
                  <pic:nvPicPr>
                    <pic:cNvPr id="6688" name="Picture 6688"/>
                    <pic:cNvPicPr/>
                  </pic:nvPicPr>
                  <pic:blipFill>
                    <a:blip r:embed="rId13"/>
                    <a:stretch>
                      <a:fillRect/>
                    </a:stretch>
                  </pic:blipFill>
                  <pic:spPr>
                    <a:xfrm>
                      <a:off x="0" y="0"/>
                      <a:ext cx="4791075" cy="2895600"/>
                    </a:xfrm>
                    <a:prstGeom prst="rect">
                      <a:avLst/>
                    </a:prstGeom>
                  </pic:spPr>
                </pic:pic>
              </a:graphicData>
            </a:graphic>
          </wp:inline>
        </w:drawing>
      </w:r>
      <w:r>
        <w:t xml:space="preserve"> </w:t>
      </w:r>
    </w:p>
    <w:p w14:paraId="20D919D6" w14:textId="77777777" w:rsidR="008C2A20" w:rsidRDefault="007F547B">
      <w:pPr>
        <w:spacing w:after="256" w:line="259" w:lineRule="auto"/>
        <w:ind w:right="444"/>
        <w:jc w:val="center"/>
      </w:pPr>
      <w:r>
        <w:rPr>
          <w:i/>
        </w:rPr>
        <w:t>Figure 7 - Donut Chart</w:t>
      </w:r>
      <w:r>
        <w:rPr>
          <w:b/>
          <w:color w:val="365F91"/>
          <w:sz w:val="28"/>
        </w:rPr>
        <w:t xml:space="preserve"> </w:t>
      </w:r>
    </w:p>
    <w:p w14:paraId="43C0F8B7" w14:textId="77777777" w:rsidR="008C2A20" w:rsidRDefault="007F547B">
      <w:pPr>
        <w:pStyle w:val="Heading2"/>
        <w:ind w:left="-5"/>
      </w:pPr>
      <w:bookmarkStart w:id="26" w:name="_Toc57570"/>
      <w:r>
        <w:t xml:space="preserve">7.5 Sector Trading Volume by Year (2013–2018) </w:t>
      </w:r>
      <w:bookmarkEnd w:id="26"/>
    </w:p>
    <w:p w14:paraId="5D125361" w14:textId="77777777" w:rsidR="008C2A20" w:rsidRDefault="007F547B">
      <w:pPr>
        <w:spacing w:line="268" w:lineRule="auto"/>
        <w:ind w:left="-5" w:right="7150"/>
        <w:jc w:val="left"/>
      </w:pPr>
      <w:r>
        <w:rPr>
          <w:b/>
        </w:rPr>
        <w:t xml:space="preserve">Visual Type: </w:t>
      </w:r>
      <w:proofErr w:type="spellStart"/>
      <w:proofErr w:type="gramStart"/>
      <w:r>
        <w:t>Treemap</w:t>
      </w:r>
      <w:proofErr w:type="spellEnd"/>
      <w:r>
        <w:rPr>
          <w:rFonts w:ascii="Arial" w:eastAsia="Arial" w:hAnsi="Arial" w:cs="Arial"/>
        </w:rPr>
        <w:t xml:space="preserve"> </w:t>
      </w:r>
      <w:r>
        <w:rPr>
          <w:b/>
        </w:rPr>
        <w:t xml:space="preserve"> Key</w:t>
      </w:r>
      <w:proofErr w:type="gramEnd"/>
      <w:r>
        <w:rPr>
          <w:b/>
        </w:rPr>
        <w:t xml:space="preserve"> Fields: </w:t>
      </w:r>
    </w:p>
    <w:p w14:paraId="23159458" w14:textId="77777777" w:rsidR="008C2A20" w:rsidRDefault="007F547B">
      <w:pPr>
        <w:numPr>
          <w:ilvl w:val="0"/>
          <w:numId w:val="22"/>
        </w:numPr>
        <w:spacing w:after="10"/>
        <w:ind w:right="439" w:hanging="360"/>
      </w:pPr>
      <w:r>
        <w:t xml:space="preserve">Group: </w:t>
      </w:r>
      <w:r>
        <w:rPr>
          <w:color w:val="188038"/>
        </w:rPr>
        <w:t xml:space="preserve">Sector </w:t>
      </w:r>
    </w:p>
    <w:p w14:paraId="0DE8C139" w14:textId="77777777" w:rsidR="008C2A20" w:rsidRDefault="007F547B">
      <w:pPr>
        <w:numPr>
          <w:ilvl w:val="0"/>
          <w:numId w:val="22"/>
        </w:numPr>
        <w:spacing w:after="21" w:line="259" w:lineRule="auto"/>
        <w:ind w:right="439" w:hanging="360"/>
      </w:pPr>
      <w:r>
        <w:t xml:space="preserve">Values: </w:t>
      </w:r>
      <w:proofErr w:type="gramStart"/>
      <w:r>
        <w:rPr>
          <w:color w:val="188038"/>
        </w:rPr>
        <w:t>AVG(</w:t>
      </w:r>
      <w:proofErr w:type="spellStart"/>
      <w:proofErr w:type="gramEnd"/>
      <w:r>
        <w:rPr>
          <w:color w:val="188038"/>
        </w:rPr>
        <w:t>total_volume</w:t>
      </w:r>
      <w:proofErr w:type="spellEnd"/>
      <w:r>
        <w:rPr>
          <w:color w:val="188038"/>
        </w:rPr>
        <w:t xml:space="preserve">) </w:t>
      </w:r>
    </w:p>
    <w:p w14:paraId="35496599" w14:textId="77777777" w:rsidR="008C2A20" w:rsidRDefault="007F547B">
      <w:pPr>
        <w:numPr>
          <w:ilvl w:val="0"/>
          <w:numId w:val="22"/>
        </w:numPr>
        <w:ind w:right="439" w:hanging="360"/>
      </w:pPr>
      <w:r>
        <w:t xml:space="preserve">Tooltips: </w:t>
      </w:r>
      <w:r>
        <w:rPr>
          <w:color w:val="188038"/>
        </w:rPr>
        <w:t xml:space="preserve">Year </w:t>
      </w:r>
    </w:p>
    <w:p w14:paraId="5BCB79C5" w14:textId="77777777" w:rsidR="008C2A20" w:rsidRDefault="007F547B">
      <w:pPr>
        <w:ind w:right="439"/>
      </w:pPr>
      <w:r>
        <w:rPr>
          <w:b/>
        </w:rPr>
        <w:t xml:space="preserve">Insight: </w:t>
      </w:r>
      <w:r>
        <w:t xml:space="preserve">The trade </w:t>
      </w:r>
      <w:proofErr w:type="gramStart"/>
      <w:r>
        <w:t>volume  analysis</w:t>
      </w:r>
      <w:proofErr w:type="gramEnd"/>
      <w:r>
        <w:t xml:space="preserve"> indicates Technology and Telecommunications sectors maintained high liquidity </w:t>
      </w:r>
      <w:proofErr w:type="gramStart"/>
      <w:r>
        <w:t>levels</w:t>
      </w:r>
      <w:proofErr w:type="gramEnd"/>
      <w:r>
        <w:t xml:space="preserve"> but Real Estate and Miscellaneous sectors experienced lower </w:t>
      </w:r>
      <w:proofErr w:type="gramStart"/>
      <w:r>
        <w:t>trade  activity</w:t>
      </w:r>
      <w:proofErr w:type="gramEnd"/>
      <w:r>
        <w:t xml:space="preserve">. </w:t>
      </w:r>
    </w:p>
    <w:p w14:paraId="280B5695" w14:textId="77777777" w:rsidR="008C2A20" w:rsidRDefault="007F547B">
      <w:pPr>
        <w:ind w:right="439"/>
      </w:pPr>
      <w:r>
        <w:rPr>
          <w:b/>
        </w:rPr>
        <w:t xml:space="preserve">Use Case: </w:t>
      </w:r>
      <w:r>
        <w:t xml:space="preserve">The liquidity risk teams along with high-frequency traders can identify </w:t>
      </w:r>
      <w:proofErr w:type="gramStart"/>
      <w:r>
        <w:t>active  market</w:t>
      </w:r>
      <w:proofErr w:type="gramEnd"/>
      <w:r>
        <w:t xml:space="preserve"> sectors which helps them develop their execution approaches. </w:t>
      </w:r>
    </w:p>
    <w:p w14:paraId="560547B4" w14:textId="77777777" w:rsidR="008C2A20" w:rsidRDefault="007F547B">
      <w:pPr>
        <w:pStyle w:val="Heading4"/>
        <w:spacing w:after="0"/>
        <w:ind w:right="444"/>
        <w:jc w:val="center"/>
      </w:pPr>
      <w:r>
        <w:rPr>
          <w:b w:val="0"/>
          <w:i/>
          <w:sz w:val="22"/>
          <w:u w:val="none"/>
        </w:rPr>
        <w:lastRenderedPageBreak/>
        <w:t xml:space="preserve">Figure 8 - Donut Chart </w:t>
      </w:r>
    </w:p>
    <w:p w14:paraId="239C995D" w14:textId="77777777" w:rsidR="008C2A20" w:rsidRDefault="007F547B">
      <w:pPr>
        <w:spacing w:after="0" w:line="259" w:lineRule="auto"/>
        <w:ind w:left="705" w:right="0" w:firstLine="0"/>
        <w:jc w:val="left"/>
      </w:pPr>
      <w:r>
        <w:rPr>
          <w:noProof/>
        </w:rPr>
        <w:drawing>
          <wp:inline distT="0" distB="0" distL="0" distR="0" wp14:anchorId="11805A6B" wp14:editId="04198461">
            <wp:extent cx="4829175" cy="2686050"/>
            <wp:effectExtent l="0" t="0" r="0" b="0"/>
            <wp:docPr id="6690" name="Picture 6690"/>
            <wp:cNvGraphicFramePr/>
            <a:graphic xmlns:a="http://schemas.openxmlformats.org/drawingml/2006/main">
              <a:graphicData uri="http://schemas.openxmlformats.org/drawingml/2006/picture">
                <pic:pic xmlns:pic="http://schemas.openxmlformats.org/drawingml/2006/picture">
                  <pic:nvPicPr>
                    <pic:cNvPr id="6690" name="Picture 6690"/>
                    <pic:cNvPicPr/>
                  </pic:nvPicPr>
                  <pic:blipFill>
                    <a:blip r:embed="rId14"/>
                    <a:stretch>
                      <a:fillRect/>
                    </a:stretch>
                  </pic:blipFill>
                  <pic:spPr>
                    <a:xfrm>
                      <a:off x="0" y="0"/>
                      <a:ext cx="4829175" cy="2686050"/>
                    </a:xfrm>
                    <a:prstGeom prst="rect">
                      <a:avLst/>
                    </a:prstGeom>
                  </pic:spPr>
                </pic:pic>
              </a:graphicData>
            </a:graphic>
          </wp:inline>
        </w:drawing>
      </w:r>
    </w:p>
    <w:p w14:paraId="49B43783" w14:textId="77777777" w:rsidR="008C2A20" w:rsidRDefault="007F547B">
      <w:pPr>
        <w:pStyle w:val="Heading1"/>
        <w:ind w:left="-5"/>
      </w:pPr>
      <w:bookmarkStart w:id="27" w:name="_Toc57571"/>
      <w:r>
        <w:t xml:space="preserve">8. Key Findings and Business Implications </w:t>
      </w:r>
      <w:bookmarkEnd w:id="27"/>
    </w:p>
    <w:p w14:paraId="21C2754F" w14:textId="77777777" w:rsidR="008C2A20" w:rsidRDefault="007F547B">
      <w:pPr>
        <w:spacing w:after="343"/>
        <w:ind w:right="439"/>
      </w:pPr>
      <w:r>
        <w:t xml:space="preserve">An analysis of five years of U.S.  stock market data offers valuable insights into sector performance, stocks, macroeconomic factors, and trading activity.  The analysis results in this paper are useful for Fidelity Investments’ institutional investors and portfolio analysts because </w:t>
      </w:r>
      <w:proofErr w:type="gramStart"/>
      <w:r>
        <w:t>they  affect</w:t>
      </w:r>
      <w:proofErr w:type="gramEnd"/>
      <w:r>
        <w:t xml:space="preserve"> portfolio diversification decisions and when to enter or exit investments. </w:t>
      </w:r>
    </w:p>
    <w:p w14:paraId="3C1B0D93" w14:textId="77777777" w:rsidR="008C2A20" w:rsidRDefault="007F547B">
      <w:pPr>
        <w:pStyle w:val="Heading3"/>
        <w:ind w:left="-5"/>
      </w:pPr>
      <w:r>
        <w:t xml:space="preserve">8.1 Sector-Level Observations </w:t>
      </w:r>
    </w:p>
    <w:p w14:paraId="74E48AE1" w14:textId="77777777" w:rsidR="008C2A20" w:rsidRDefault="007F547B">
      <w:pPr>
        <w:numPr>
          <w:ilvl w:val="0"/>
          <w:numId w:val="23"/>
        </w:numPr>
        <w:spacing w:after="228"/>
        <w:ind w:right="439" w:hanging="360"/>
      </w:pPr>
      <w:r>
        <w:t xml:space="preserve">Technology and Telecommunications sectors provided higher average monthly returns from 2013 to </w:t>
      </w:r>
      <w:proofErr w:type="gramStart"/>
      <w:r>
        <w:t>2018  and</w:t>
      </w:r>
      <w:proofErr w:type="gramEnd"/>
      <w:r>
        <w:t xml:space="preserve"> their performance was especially strong from 2017 to 2018. </w:t>
      </w:r>
    </w:p>
    <w:p w14:paraId="7EB0C8B4" w14:textId="77777777" w:rsidR="008C2A20" w:rsidRDefault="007F547B">
      <w:pPr>
        <w:numPr>
          <w:ilvl w:val="0"/>
          <w:numId w:val="23"/>
        </w:numPr>
        <w:ind w:right="439" w:hanging="360"/>
      </w:pPr>
      <w:r>
        <w:t xml:space="preserve">Utilities and Real Estate </w:t>
      </w:r>
      <w:proofErr w:type="gramStart"/>
      <w:r>
        <w:t>sectors  provided</w:t>
      </w:r>
      <w:proofErr w:type="gramEnd"/>
      <w:r>
        <w:t xml:space="preserve"> flat or negative return patterns, which indicates these sectors may not be the best choice for aggressive </w:t>
      </w:r>
      <w:proofErr w:type="gramStart"/>
      <w:r>
        <w:t>growth  strategies</w:t>
      </w:r>
      <w:proofErr w:type="gramEnd"/>
      <w:r>
        <w:t xml:space="preserve">. </w:t>
      </w:r>
    </w:p>
    <w:p w14:paraId="5F10A20A" w14:textId="77777777" w:rsidR="008C2A20" w:rsidRDefault="007F547B">
      <w:pPr>
        <w:numPr>
          <w:ilvl w:val="0"/>
          <w:numId w:val="23"/>
        </w:numPr>
        <w:ind w:right="439" w:hanging="360"/>
      </w:pPr>
      <w:r>
        <w:t xml:space="preserve">Energy and Consumer Discretionary sectors displayed high volatility, which suggests that there may be </w:t>
      </w:r>
      <w:proofErr w:type="gramStart"/>
      <w:r>
        <w:t>speculative  investment</w:t>
      </w:r>
      <w:proofErr w:type="gramEnd"/>
      <w:r>
        <w:t xml:space="preserve"> opportunities with higher risk. </w:t>
      </w:r>
    </w:p>
    <w:p w14:paraId="1C255531" w14:textId="77777777" w:rsidR="008C2A20" w:rsidRDefault="007F547B">
      <w:pPr>
        <w:ind w:right="439"/>
      </w:pPr>
      <w:r>
        <w:t xml:space="preserve">Implication: Managers can enhance portfolio returns by allocating more weight to </w:t>
      </w:r>
      <w:proofErr w:type="gramStart"/>
      <w:r>
        <w:t>performing  sectors</w:t>
      </w:r>
      <w:proofErr w:type="gramEnd"/>
      <w:r>
        <w:t xml:space="preserve"> in bull markets and adjust the weights in bear markets to reduce portfolio volatility. </w:t>
      </w:r>
    </w:p>
    <w:p w14:paraId="5F42006E" w14:textId="77777777" w:rsidR="008C2A20" w:rsidRDefault="007F547B">
      <w:pPr>
        <w:spacing w:after="317" w:line="259" w:lineRule="auto"/>
        <w:ind w:left="0" w:right="0" w:firstLine="0"/>
        <w:jc w:val="left"/>
      </w:pPr>
      <w:r>
        <w:t xml:space="preserve"> </w:t>
      </w:r>
    </w:p>
    <w:p w14:paraId="02176EAE" w14:textId="77777777" w:rsidR="008C2A20" w:rsidRDefault="007F547B">
      <w:pPr>
        <w:pStyle w:val="Heading3"/>
        <w:ind w:left="-5"/>
      </w:pPr>
      <w:r>
        <w:t xml:space="preserve">8.2 Stock Performance Trends </w:t>
      </w:r>
    </w:p>
    <w:p w14:paraId="57FDC035" w14:textId="77777777" w:rsidR="008C2A20" w:rsidRDefault="007F547B">
      <w:pPr>
        <w:ind w:right="439"/>
      </w:pPr>
      <w:r>
        <w:t xml:space="preserve">NVDA (NVIDIA), APTV, and NFLX (Netflix) </w:t>
      </w:r>
      <w:proofErr w:type="gramStart"/>
      <w:r>
        <w:t>were  among</w:t>
      </w:r>
      <w:proofErr w:type="gramEnd"/>
      <w:r>
        <w:t xml:space="preserve"> the top 10 stocks in terms of average monthly return, which means that investors were very </w:t>
      </w:r>
      <w:proofErr w:type="gramStart"/>
      <w:r>
        <w:t>confident  in</w:t>
      </w:r>
      <w:proofErr w:type="gramEnd"/>
      <w:r>
        <w:t xml:space="preserve"> these </w:t>
      </w:r>
      <w:proofErr w:type="gramStart"/>
      <w:r>
        <w:t>stocks</w:t>
      </w:r>
      <w:proofErr w:type="gramEnd"/>
      <w:r>
        <w:t xml:space="preserve"> and they performed well over the years. </w:t>
      </w:r>
    </w:p>
    <w:p w14:paraId="3CC39789" w14:textId="77777777" w:rsidR="008C2A20" w:rsidRDefault="007F547B">
      <w:pPr>
        <w:ind w:right="439"/>
      </w:pPr>
      <w:r>
        <w:t xml:space="preserve">On the other hand, stocks like </w:t>
      </w:r>
      <w:proofErr w:type="gramStart"/>
      <w:r>
        <w:t>UA,  EVHC</w:t>
      </w:r>
      <w:proofErr w:type="gramEnd"/>
      <w:r>
        <w:t>, and BHGE performed poorly, which could be due to company-specific problems or sector-</w:t>
      </w:r>
      <w:proofErr w:type="gramStart"/>
      <w:r>
        <w:t>related  challenges</w:t>
      </w:r>
      <w:proofErr w:type="gramEnd"/>
      <w:r>
        <w:t xml:space="preserve">. </w:t>
      </w:r>
    </w:p>
    <w:p w14:paraId="36992AED" w14:textId="77777777" w:rsidR="008C2A20" w:rsidRDefault="007F547B">
      <w:pPr>
        <w:ind w:right="439"/>
      </w:pPr>
      <w:r>
        <w:rPr>
          <w:b/>
        </w:rPr>
        <w:lastRenderedPageBreak/>
        <w:t xml:space="preserve">Implication: </w:t>
      </w:r>
      <w:r>
        <w:t xml:space="preserve">These high performers can be picked up by Fidelity’s equity research teams </w:t>
      </w:r>
      <w:proofErr w:type="gramStart"/>
      <w:r>
        <w:t>for  further</w:t>
      </w:r>
      <w:proofErr w:type="gramEnd"/>
      <w:r>
        <w:t xml:space="preserve"> analysis and can be included in active management strategies or thematic investment portfolios. </w:t>
      </w:r>
    </w:p>
    <w:p w14:paraId="2D109CDE" w14:textId="77777777" w:rsidR="008C2A20" w:rsidRDefault="007F547B">
      <w:pPr>
        <w:spacing w:after="317" w:line="259" w:lineRule="auto"/>
        <w:ind w:left="0" w:right="0" w:firstLine="0"/>
        <w:jc w:val="left"/>
      </w:pPr>
      <w:r>
        <w:t xml:space="preserve"> </w:t>
      </w:r>
    </w:p>
    <w:p w14:paraId="715EB129" w14:textId="77777777" w:rsidR="008C2A20" w:rsidRDefault="007F547B">
      <w:pPr>
        <w:pStyle w:val="Heading3"/>
        <w:ind w:left="-5"/>
      </w:pPr>
      <w:r>
        <w:t xml:space="preserve">8.3 Macroeconomic Influences </w:t>
      </w:r>
    </w:p>
    <w:p w14:paraId="58BF5ACB" w14:textId="77777777" w:rsidR="008C2A20" w:rsidRDefault="007F547B">
      <w:pPr>
        <w:ind w:left="705" w:right="439" w:hanging="360"/>
      </w:pPr>
      <w:r>
        <w:rPr>
          <w:rFonts w:ascii="MS PGothic" w:eastAsia="MS PGothic" w:hAnsi="MS PGothic" w:cs="MS PGothic"/>
        </w:rPr>
        <w:t>➤</w:t>
      </w:r>
      <w:r>
        <w:rPr>
          <w:rFonts w:ascii="Arial" w:eastAsia="Arial" w:hAnsi="Arial" w:cs="Arial"/>
        </w:rPr>
        <w:t xml:space="preserve"> </w:t>
      </w:r>
      <w:r>
        <w:t xml:space="preserve">There is a weak negative relationship between interest rates and stock returns as seen in </w:t>
      </w:r>
      <w:proofErr w:type="gramStart"/>
      <w:r>
        <w:t>the  visual</w:t>
      </w:r>
      <w:proofErr w:type="gramEnd"/>
      <w:r>
        <w:t xml:space="preserve"> correlation, stock returns were higher during lower interest rates especially before 2017. </w:t>
      </w:r>
    </w:p>
    <w:p w14:paraId="400B02F9" w14:textId="77777777" w:rsidR="008C2A20" w:rsidRDefault="007F547B">
      <w:pPr>
        <w:ind w:left="355" w:right="439"/>
      </w:pPr>
      <w:r>
        <w:rPr>
          <w:rFonts w:ascii="MS PGothic" w:eastAsia="MS PGothic" w:hAnsi="MS PGothic" w:cs="MS PGothic"/>
        </w:rPr>
        <w:t>➤</w:t>
      </w:r>
      <w:r>
        <w:rPr>
          <w:rFonts w:ascii="Arial" w:eastAsia="Arial" w:hAnsi="Arial" w:cs="Arial"/>
        </w:rPr>
        <w:t xml:space="preserve"> </w:t>
      </w:r>
      <w:r>
        <w:t xml:space="preserve">This implies </w:t>
      </w:r>
      <w:proofErr w:type="gramStart"/>
      <w:r>
        <w:t>that  easy</w:t>
      </w:r>
      <w:proofErr w:type="gramEnd"/>
      <w:r>
        <w:t xml:space="preserve"> monetary policy has a positive impact on equity market growth. </w:t>
      </w:r>
    </w:p>
    <w:p w14:paraId="017DF383" w14:textId="77777777" w:rsidR="008C2A20" w:rsidRDefault="007F547B">
      <w:pPr>
        <w:ind w:right="439"/>
      </w:pPr>
      <w:r>
        <w:rPr>
          <w:b/>
        </w:rPr>
        <w:t xml:space="preserve">Implication: </w:t>
      </w:r>
      <w:r>
        <w:t xml:space="preserve">Interest rates are </w:t>
      </w:r>
      <w:proofErr w:type="gramStart"/>
      <w:r>
        <w:t>other  macroeconomic</w:t>
      </w:r>
      <w:proofErr w:type="gramEnd"/>
      <w:r>
        <w:t xml:space="preserve"> indicators that can be used as leading indicators to help sector rotation and risk management in the market. </w:t>
      </w:r>
    </w:p>
    <w:p w14:paraId="57F38F07" w14:textId="77777777" w:rsidR="008C2A20" w:rsidRDefault="007F547B">
      <w:pPr>
        <w:pStyle w:val="Heading3"/>
        <w:spacing w:after="275"/>
        <w:ind w:left="-5"/>
      </w:pPr>
      <w:r>
        <w:t xml:space="preserve">8.4 Trading Volume Insights </w:t>
      </w:r>
    </w:p>
    <w:p w14:paraId="35C2E05A" w14:textId="77777777" w:rsidR="008C2A20" w:rsidRDefault="007F547B">
      <w:pPr>
        <w:spacing w:after="313"/>
        <w:ind w:left="705" w:right="439" w:hanging="360"/>
      </w:pPr>
      <w:r>
        <w:t>⤒</w:t>
      </w:r>
      <w:r>
        <w:rPr>
          <w:rFonts w:ascii="Arial" w:eastAsia="Arial" w:hAnsi="Arial" w:cs="Arial"/>
        </w:rPr>
        <w:t xml:space="preserve"> </w:t>
      </w:r>
      <w:r>
        <w:t xml:space="preserve">The Technology and Telecommunications sectors had the highest trading volume year </w:t>
      </w:r>
      <w:proofErr w:type="gramStart"/>
      <w:r>
        <w:t>on  year</w:t>
      </w:r>
      <w:proofErr w:type="gramEnd"/>
      <w:r>
        <w:t xml:space="preserve"> which shows that these sectors are the most active in terms of investor participation. </w:t>
      </w:r>
    </w:p>
    <w:p w14:paraId="1025B5B7" w14:textId="77777777" w:rsidR="008C2A20" w:rsidRDefault="007F547B">
      <w:pPr>
        <w:ind w:left="705" w:right="439" w:hanging="360"/>
      </w:pPr>
      <w:r>
        <w:t>⤒</w:t>
      </w:r>
      <w:r>
        <w:rPr>
          <w:rFonts w:ascii="Arial" w:eastAsia="Arial" w:hAnsi="Arial" w:cs="Arial"/>
        </w:rPr>
        <w:t xml:space="preserve"> </w:t>
      </w:r>
      <w:r>
        <w:t xml:space="preserve">The heatmap analysis </w:t>
      </w:r>
      <w:proofErr w:type="gramStart"/>
      <w:r>
        <w:t>also  showed</w:t>
      </w:r>
      <w:proofErr w:type="gramEnd"/>
      <w:r>
        <w:t xml:space="preserve"> a surge in sector-wide trading activity in 2016 and 2018, which could </w:t>
      </w:r>
      <w:proofErr w:type="gramStart"/>
      <w:r>
        <w:t>be  due</w:t>
      </w:r>
      <w:proofErr w:type="gramEnd"/>
      <w:r>
        <w:t xml:space="preserve"> to macroeconomic announcements or earnings cycles. </w:t>
      </w:r>
    </w:p>
    <w:p w14:paraId="11B8D8DE" w14:textId="77777777" w:rsidR="008C2A20" w:rsidRDefault="007F547B">
      <w:pPr>
        <w:ind w:right="439"/>
      </w:pPr>
      <w:r>
        <w:rPr>
          <w:b/>
        </w:rPr>
        <w:t xml:space="preserve">Implication: </w:t>
      </w:r>
      <w:r>
        <w:t xml:space="preserve">High trading volumes usually mean high liquidity </w:t>
      </w:r>
      <w:proofErr w:type="gramStart"/>
      <w:r>
        <w:t>and  positive</w:t>
      </w:r>
      <w:proofErr w:type="gramEnd"/>
      <w:r>
        <w:t xml:space="preserve"> investor sentiment. These sectors can be used in tactical strategies that focus on high turnover and news sensitivity. </w:t>
      </w:r>
    </w:p>
    <w:p w14:paraId="7B6476A4" w14:textId="77777777" w:rsidR="008C2A20" w:rsidRDefault="007F547B">
      <w:pPr>
        <w:spacing w:after="317" w:line="259" w:lineRule="auto"/>
        <w:ind w:left="0" w:right="0" w:firstLine="0"/>
        <w:jc w:val="left"/>
      </w:pPr>
      <w:r>
        <w:t xml:space="preserve"> </w:t>
      </w:r>
    </w:p>
    <w:p w14:paraId="5828620B" w14:textId="77777777" w:rsidR="008C2A20" w:rsidRDefault="007F547B">
      <w:pPr>
        <w:pStyle w:val="Heading3"/>
        <w:ind w:left="-5"/>
      </w:pPr>
      <w:r>
        <w:t xml:space="preserve">8.5 Industry Diversification Potential </w:t>
      </w:r>
    </w:p>
    <w:p w14:paraId="20463290" w14:textId="77777777" w:rsidR="008C2A20" w:rsidRDefault="007F547B">
      <w:pPr>
        <w:ind w:left="705" w:right="439" w:hanging="360"/>
      </w:pPr>
      <w:r>
        <w:t>⟶</w:t>
      </w:r>
      <w:r>
        <w:rPr>
          <w:rFonts w:ascii="Arial" w:eastAsia="Arial" w:hAnsi="Arial" w:cs="Arial"/>
        </w:rPr>
        <w:t xml:space="preserve"> </w:t>
      </w:r>
      <w:r>
        <w:t xml:space="preserve">The donut chart showed more than </w:t>
      </w:r>
      <w:proofErr w:type="gramStart"/>
      <w:r>
        <w:t>70  industries</w:t>
      </w:r>
      <w:proofErr w:type="gramEnd"/>
      <w:r>
        <w:t xml:space="preserve">, and most of the top performing stocks fell under multiple industries. </w:t>
      </w:r>
    </w:p>
    <w:p w14:paraId="400E8DBD" w14:textId="77777777" w:rsidR="008C2A20" w:rsidRDefault="007F547B">
      <w:pPr>
        <w:ind w:left="705" w:right="439" w:hanging="360"/>
      </w:pPr>
      <w:r>
        <w:t>⟶</w:t>
      </w:r>
      <w:r>
        <w:rPr>
          <w:rFonts w:ascii="Arial" w:eastAsia="Arial" w:hAnsi="Arial" w:cs="Arial"/>
        </w:rPr>
        <w:t xml:space="preserve"> </w:t>
      </w:r>
      <w:r>
        <w:t xml:space="preserve">The most prominent industries </w:t>
      </w:r>
      <w:proofErr w:type="gramStart"/>
      <w:r>
        <w:t>were  Semiconductors</w:t>
      </w:r>
      <w:proofErr w:type="gramEnd"/>
      <w:r>
        <w:t xml:space="preserve">, Software and Biotechnology, all of which were major contributors to the high return clusters. </w:t>
      </w:r>
    </w:p>
    <w:p w14:paraId="096053D2" w14:textId="77777777" w:rsidR="008C2A20" w:rsidRDefault="007F547B">
      <w:pPr>
        <w:ind w:right="439"/>
      </w:pPr>
      <w:r>
        <w:rPr>
          <w:b/>
        </w:rPr>
        <w:t>Implication:</w:t>
      </w:r>
      <w:r>
        <w:t xml:space="preserve"> Fidelity can create multi-industry ETF baskets or thematic funds on fast growing micro </w:t>
      </w:r>
      <w:proofErr w:type="gramStart"/>
      <w:r>
        <w:t>industries  to</w:t>
      </w:r>
      <w:proofErr w:type="gramEnd"/>
      <w:r>
        <w:t xml:space="preserve"> target millennial and Gen Z investors who want to invest in niche areas. </w:t>
      </w:r>
    </w:p>
    <w:p w14:paraId="4F7C4FB1" w14:textId="77777777" w:rsidR="008C2A20" w:rsidRDefault="007F547B">
      <w:pPr>
        <w:spacing w:after="317" w:line="259" w:lineRule="auto"/>
        <w:ind w:left="0" w:right="0" w:firstLine="0"/>
        <w:jc w:val="left"/>
      </w:pPr>
      <w:r>
        <w:t xml:space="preserve"> </w:t>
      </w:r>
    </w:p>
    <w:p w14:paraId="6F0A202D" w14:textId="77777777" w:rsidR="008C2A20" w:rsidRDefault="007F547B">
      <w:pPr>
        <w:pStyle w:val="Heading3"/>
        <w:spacing w:after="275"/>
        <w:ind w:left="-5"/>
      </w:pPr>
      <w:r>
        <w:t xml:space="preserve">8.6 Use Case for Fidelity Investments </w:t>
      </w:r>
    </w:p>
    <w:p w14:paraId="7281473F" w14:textId="77777777" w:rsidR="008C2A20" w:rsidRDefault="007F547B">
      <w:pPr>
        <w:spacing w:after="283"/>
        <w:ind w:left="355" w:right="439"/>
      </w:pPr>
      <w:r>
        <w:t>⧫</w:t>
      </w:r>
      <w:r>
        <w:rPr>
          <w:rFonts w:ascii="Arial" w:eastAsia="Arial" w:hAnsi="Arial" w:cs="Arial"/>
        </w:rPr>
        <w:t xml:space="preserve"> </w:t>
      </w:r>
      <w:r>
        <w:t xml:space="preserve">Research analysts to observe how different sectors react to </w:t>
      </w:r>
      <w:proofErr w:type="gramStart"/>
      <w:r>
        <w:t>trends  in</w:t>
      </w:r>
      <w:proofErr w:type="gramEnd"/>
      <w:r>
        <w:t xml:space="preserve"> the macroeconomy. </w:t>
      </w:r>
    </w:p>
    <w:p w14:paraId="6497211D" w14:textId="77777777" w:rsidR="008C2A20" w:rsidRDefault="007F547B">
      <w:pPr>
        <w:spacing w:after="282"/>
        <w:ind w:left="355" w:right="439"/>
      </w:pPr>
      <w:r>
        <w:t>⧫</w:t>
      </w:r>
      <w:r>
        <w:rPr>
          <w:rFonts w:ascii="Arial" w:eastAsia="Arial" w:hAnsi="Arial" w:cs="Arial"/>
        </w:rPr>
        <w:t xml:space="preserve"> </w:t>
      </w:r>
      <w:r>
        <w:t xml:space="preserve">Fund managers to identify top and bottom performers over multi-year periods. </w:t>
      </w:r>
    </w:p>
    <w:p w14:paraId="14DE3EAA" w14:textId="77777777" w:rsidR="008C2A20" w:rsidRDefault="007F547B">
      <w:pPr>
        <w:spacing w:after="322"/>
        <w:ind w:left="355" w:right="439"/>
      </w:pPr>
      <w:r>
        <w:t>⧫</w:t>
      </w:r>
      <w:r>
        <w:rPr>
          <w:rFonts w:ascii="Arial" w:eastAsia="Arial" w:hAnsi="Arial" w:cs="Arial"/>
        </w:rPr>
        <w:t xml:space="preserve"> </w:t>
      </w:r>
      <w:r>
        <w:t xml:space="preserve">Traders to observe liquidity hotspots over years. </w:t>
      </w:r>
    </w:p>
    <w:p w14:paraId="2D16AD2A" w14:textId="77777777" w:rsidR="008C2A20" w:rsidRDefault="007F547B">
      <w:pPr>
        <w:ind w:left="355" w:right="439"/>
      </w:pPr>
      <w:r>
        <w:lastRenderedPageBreak/>
        <w:t>⧫</w:t>
      </w:r>
      <w:r>
        <w:rPr>
          <w:rFonts w:ascii="Arial" w:eastAsia="Arial" w:hAnsi="Arial" w:cs="Arial"/>
        </w:rPr>
        <w:t xml:space="preserve"> </w:t>
      </w:r>
      <w:r>
        <w:t xml:space="preserve">Executives to view market dynamics </w:t>
      </w:r>
      <w:proofErr w:type="gramStart"/>
      <w:r>
        <w:t>at a glance</w:t>
      </w:r>
      <w:proofErr w:type="gramEnd"/>
      <w:r>
        <w:t xml:space="preserve">. </w:t>
      </w:r>
    </w:p>
    <w:p w14:paraId="59FE00F1" w14:textId="77777777" w:rsidR="008C2A20" w:rsidRDefault="007F547B">
      <w:pPr>
        <w:ind w:right="439"/>
      </w:pPr>
      <w:r>
        <w:t xml:space="preserve">It is a useful tool for investment decisions, performance measurement and looking at the future allocation of resources. </w:t>
      </w:r>
    </w:p>
    <w:p w14:paraId="007711D8" w14:textId="77777777" w:rsidR="008C2A20" w:rsidRDefault="007F547B">
      <w:pPr>
        <w:spacing w:after="259" w:line="259" w:lineRule="auto"/>
        <w:ind w:left="0" w:right="0" w:firstLine="0"/>
        <w:jc w:val="left"/>
      </w:pPr>
      <w:r>
        <w:t xml:space="preserve"> </w:t>
      </w:r>
    </w:p>
    <w:p w14:paraId="72F43B58" w14:textId="77777777" w:rsidR="008C2A20" w:rsidRDefault="007F547B">
      <w:pPr>
        <w:spacing w:after="259" w:line="259" w:lineRule="auto"/>
        <w:ind w:left="0" w:right="0" w:firstLine="0"/>
        <w:jc w:val="left"/>
      </w:pPr>
      <w:r>
        <w:t xml:space="preserve"> </w:t>
      </w:r>
    </w:p>
    <w:p w14:paraId="1E95A1CC" w14:textId="77777777" w:rsidR="008C2A20" w:rsidRDefault="007F547B">
      <w:pPr>
        <w:spacing w:after="259" w:line="259" w:lineRule="auto"/>
        <w:ind w:left="0" w:right="0" w:firstLine="0"/>
        <w:jc w:val="left"/>
      </w:pPr>
      <w:r>
        <w:t xml:space="preserve"> </w:t>
      </w:r>
    </w:p>
    <w:p w14:paraId="6D6CD3AB" w14:textId="77777777" w:rsidR="008C2A20" w:rsidRDefault="007F547B">
      <w:pPr>
        <w:spacing w:after="259" w:line="259" w:lineRule="auto"/>
        <w:ind w:left="0" w:right="0" w:firstLine="0"/>
        <w:jc w:val="left"/>
      </w:pPr>
      <w:r>
        <w:t xml:space="preserve"> </w:t>
      </w:r>
    </w:p>
    <w:p w14:paraId="030128AF" w14:textId="77777777" w:rsidR="008C2A20" w:rsidRDefault="007F547B">
      <w:pPr>
        <w:spacing w:after="0" w:line="259" w:lineRule="auto"/>
        <w:ind w:left="0" w:right="0" w:firstLine="0"/>
        <w:jc w:val="left"/>
      </w:pPr>
      <w:r>
        <w:t xml:space="preserve"> </w:t>
      </w:r>
    </w:p>
    <w:p w14:paraId="5E8261DE" w14:textId="77777777" w:rsidR="008C2A20" w:rsidRDefault="007F547B">
      <w:pPr>
        <w:pStyle w:val="Heading1"/>
        <w:ind w:left="-5"/>
      </w:pPr>
      <w:bookmarkStart w:id="28" w:name="_Toc57572"/>
      <w:r>
        <w:t xml:space="preserve">9. Evaluation </w:t>
      </w:r>
      <w:bookmarkEnd w:id="28"/>
    </w:p>
    <w:p w14:paraId="4AF16681" w14:textId="77777777" w:rsidR="008C2A20" w:rsidRDefault="007F547B">
      <w:pPr>
        <w:spacing w:after="383"/>
        <w:ind w:right="439"/>
      </w:pPr>
      <w:r>
        <w:t xml:space="preserve"> The last part evaluates how the BI solution developed for Fidelity Investments works and how well it </w:t>
      </w:r>
      <w:proofErr w:type="gramStart"/>
      <w:r>
        <w:t>meets  business</w:t>
      </w:r>
      <w:proofErr w:type="gramEnd"/>
      <w:r>
        <w:t xml:space="preserve"> requirements. The goal was to design a complete dashboard for stock market analytics to help investment analysts </w:t>
      </w:r>
      <w:proofErr w:type="gramStart"/>
      <w:r>
        <w:t>and  business</w:t>
      </w:r>
      <w:proofErr w:type="gramEnd"/>
      <w:r>
        <w:t xml:space="preserve"> managers. This evaluation looks at what did well, what issues occurred, and how the solution </w:t>
      </w:r>
      <w:proofErr w:type="gramStart"/>
      <w:r>
        <w:t>meets  real</w:t>
      </w:r>
      <w:proofErr w:type="gramEnd"/>
      <w:r>
        <w:t xml:space="preserve"> business needs. </w:t>
      </w:r>
    </w:p>
    <w:p w14:paraId="29F64013" w14:textId="77777777" w:rsidR="008C2A20" w:rsidRDefault="007F547B">
      <w:pPr>
        <w:pStyle w:val="Heading3"/>
        <w:ind w:left="-5"/>
      </w:pPr>
      <w:r>
        <w:t xml:space="preserve">9.1 Successes </w:t>
      </w:r>
    </w:p>
    <w:p w14:paraId="6704F13E" w14:textId="77777777" w:rsidR="008C2A20" w:rsidRDefault="007F547B">
      <w:pPr>
        <w:spacing w:after="272"/>
        <w:ind w:right="439"/>
      </w:pPr>
      <w:proofErr w:type="gramStart"/>
      <w:r>
        <w:t>A number of</w:t>
      </w:r>
      <w:proofErr w:type="gramEnd"/>
      <w:r>
        <w:t xml:space="preserve"> aspects of this BI solution operated correctly: </w:t>
      </w:r>
    </w:p>
    <w:p w14:paraId="43A7B748" w14:textId="77777777" w:rsidR="008C2A20" w:rsidRDefault="007F547B">
      <w:pPr>
        <w:spacing w:after="228"/>
        <w:ind w:left="705" w:right="439" w:hanging="360"/>
      </w:pPr>
      <w:r>
        <w:rPr>
          <w:rFonts w:ascii="MS PGothic" w:eastAsia="MS PGothic" w:hAnsi="MS PGothic" w:cs="MS PGothic"/>
        </w:rPr>
        <w:t>➹</w:t>
      </w:r>
      <w:r>
        <w:rPr>
          <w:rFonts w:ascii="Arial" w:eastAsia="Arial" w:hAnsi="Arial" w:cs="Arial"/>
        </w:rPr>
        <w:t xml:space="preserve"> </w:t>
      </w:r>
      <w:r>
        <w:rPr>
          <w:b/>
        </w:rPr>
        <w:t xml:space="preserve">Robust Data Integration: </w:t>
      </w:r>
      <w:r>
        <w:t xml:space="preserve">The ETL process cleaned and joined and imported stock performance and </w:t>
      </w:r>
      <w:proofErr w:type="gramStart"/>
      <w:r>
        <w:t>macroeconomic  data</w:t>
      </w:r>
      <w:proofErr w:type="gramEnd"/>
      <w:r>
        <w:t xml:space="preserve"> from multiple CSV and SQL sources into a unified MySQL database. This enabled seamless integration into Power BI. </w:t>
      </w:r>
    </w:p>
    <w:p w14:paraId="142F243E" w14:textId="77777777" w:rsidR="008C2A20" w:rsidRDefault="007F547B">
      <w:pPr>
        <w:spacing w:after="228"/>
        <w:ind w:left="705" w:right="439" w:hanging="360"/>
      </w:pPr>
      <w:r>
        <w:rPr>
          <w:rFonts w:ascii="MS PGothic" w:eastAsia="MS PGothic" w:hAnsi="MS PGothic" w:cs="MS PGothic"/>
        </w:rPr>
        <w:t>➹</w:t>
      </w:r>
      <w:r>
        <w:rPr>
          <w:rFonts w:ascii="Arial" w:eastAsia="Arial" w:hAnsi="Arial" w:cs="Arial"/>
        </w:rPr>
        <w:t xml:space="preserve"> </w:t>
      </w:r>
      <w:r>
        <w:rPr>
          <w:b/>
        </w:rPr>
        <w:t xml:space="preserve">Insightful Visualisations: </w:t>
      </w:r>
      <w:r>
        <w:t xml:space="preserve">The dashboard shows the key trends in sector-wise </w:t>
      </w:r>
      <w:proofErr w:type="gramStart"/>
      <w:r>
        <w:t>performance,  year</w:t>
      </w:r>
      <w:proofErr w:type="gramEnd"/>
      <w:r>
        <w:t xml:space="preserve">-on-year trading volume, and the relationship between interest rates and stock returns. Each chart answers a distinct </w:t>
      </w:r>
      <w:proofErr w:type="gramStart"/>
      <w:r>
        <w:t>business  question</w:t>
      </w:r>
      <w:proofErr w:type="gramEnd"/>
      <w:r>
        <w:t xml:space="preserve"> and is very simple to read. </w:t>
      </w:r>
    </w:p>
    <w:p w14:paraId="6F8E2541" w14:textId="77777777" w:rsidR="008C2A20" w:rsidRDefault="007F547B">
      <w:pPr>
        <w:ind w:left="705" w:right="439" w:hanging="360"/>
      </w:pPr>
      <w:r>
        <w:rPr>
          <w:rFonts w:ascii="MS PGothic" w:eastAsia="MS PGothic" w:hAnsi="MS PGothic" w:cs="MS PGothic"/>
        </w:rPr>
        <w:t>➹</w:t>
      </w:r>
      <w:r>
        <w:rPr>
          <w:rFonts w:ascii="Arial" w:eastAsia="Arial" w:hAnsi="Arial" w:cs="Arial"/>
        </w:rPr>
        <w:t xml:space="preserve"> </w:t>
      </w:r>
      <w:r>
        <w:rPr>
          <w:b/>
        </w:rPr>
        <w:t xml:space="preserve">Effective Use of Data Modelling: </w:t>
      </w:r>
      <w:r>
        <w:t xml:space="preserve">The star schema design </w:t>
      </w:r>
      <w:proofErr w:type="gramStart"/>
      <w:r>
        <w:t>made  it</w:t>
      </w:r>
      <w:proofErr w:type="gramEnd"/>
      <w:r>
        <w:t xml:space="preserve"> easy to slice by dimensions such as sector, year, and industry. The relationships between the </w:t>
      </w:r>
      <w:proofErr w:type="gramStart"/>
      <w:r>
        <w:t>fact  and</w:t>
      </w:r>
      <w:proofErr w:type="gramEnd"/>
      <w:r>
        <w:t xml:space="preserve"> dimension tables were well defined and optimised within Power BI. </w:t>
      </w:r>
    </w:p>
    <w:p w14:paraId="3B381A70" w14:textId="77777777" w:rsidR="008C2A20" w:rsidRDefault="007F547B">
      <w:pPr>
        <w:spacing w:after="1" w:line="277" w:lineRule="auto"/>
        <w:ind w:left="730" w:right="299" w:hanging="370"/>
        <w:jc w:val="left"/>
      </w:pPr>
      <w:r>
        <w:rPr>
          <w:rFonts w:ascii="MS PGothic" w:eastAsia="MS PGothic" w:hAnsi="MS PGothic" w:cs="MS PGothic"/>
        </w:rPr>
        <w:t>➹</w:t>
      </w:r>
      <w:r>
        <w:rPr>
          <w:rFonts w:ascii="Arial" w:eastAsia="Arial" w:hAnsi="Arial" w:cs="Arial"/>
        </w:rPr>
        <w:t xml:space="preserve"> </w:t>
      </w:r>
      <w:r>
        <w:rPr>
          <w:b/>
        </w:rPr>
        <w:t xml:space="preserve">Practical Analytical Relevance:  </w:t>
      </w:r>
      <w:r>
        <w:t xml:space="preserve">The dashboard shows the top and bottom performing stocks, plots the returns against macroeconomic indicators and presents </w:t>
      </w:r>
      <w:proofErr w:type="gramStart"/>
      <w:r>
        <w:t>the  trading</w:t>
      </w:r>
      <w:proofErr w:type="gramEnd"/>
      <w:r>
        <w:t xml:space="preserve"> </w:t>
      </w:r>
      <w:proofErr w:type="spellStart"/>
      <w:r>
        <w:t>behavior</w:t>
      </w:r>
      <w:proofErr w:type="spellEnd"/>
      <w:r>
        <w:t xml:space="preserve"> which can be used to make strategic investment decisions.</w:t>
      </w:r>
      <w:r>
        <w:rPr>
          <w:rFonts w:ascii="Arial" w:eastAsia="Arial" w:hAnsi="Arial" w:cs="Arial"/>
        </w:rPr>
        <w:t xml:space="preserve"> </w:t>
      </w:r>
    </w:p>
    <w:p w14:paraId="725AFCD9" w14:textId="77777777" w:rsidR="008C2A20" w:rsidRDefault="007F547B">
      <w:pPr>
        <w:spacing w:after="397" w:line="259" w:lineRule="auto"/>
        <w:ind w:left="720" w:right="0" w:firstLine="0"/>
        <w:jc w:val="left"/>
      </w:pPr>
      <w:r>
        <w:t xml:space="preserve"> </w:t>
      </w:r>
    </w:p>
    <w:p w14:paraId="27A2F995" w14:textId="77777777" w:rsidR="008C2A20" w:rsidRDefault="007F547B">
      <w:pPr>
        <w:pStyle w:val="Heading3"/>
        <w:spacing w:after="274"/>
        <w:ind w:left="-5"/>
      </w:pPr>
      <w:r>
        <w:t>9.2 Challenges Encountered</w:t>
      </w:r>
      <w:r>
        <w:rPr>
          <w:b w:val="0"/>
          <w:color w:val="434343"/>
        </w:rPr>
        <w:t xml:space="preserve"> </w:t>
      </w:r>
    </w:p>
    <w:p w14:paraId="324DA092" w14:textId="77777777" w:rsidR="008C2A20" w:rsidRDefault="007F547B">
      <w:pPr>
        <w:spacing w:after="273"/>
        <w:ind w:left="705" w:right="439" w:hanging="360"/>
      </w:pPr>
      <w:r>
        <w:t>⤲</w:t>
      </w:r>
      <w:r>
        <w:rPr>
          <w:rFonts w:ascii="Arial" w:eastAsia="Arial" w:hAnsi="Arial" w:cs="Arial"/>
        </w:rPr>
        <w:t xml:space="preserve"> </w:t>
      </w:r>
      <w:r>
        <w:rPr>
          <w:b/>
        </w:rPr>
        <w:t xml:space="preserve">Power BI SQL Connector Issues: </w:t>
      </w:r>
      <w:r>
        <w:t xml:space="preserve">At the start, </w:t>
      </w:r>
      <w:proofErr w:type="gramStart"/>
      <w:r>
        <w:t>Power  BI</w:t>
      </w:r>
      <w:proofErr w:type="gramEnd"/>
      <w:r>
        <w:t xml:space="preserve"> had problems connecting to the MySQL database because of missing components. The problem was solved by downloading </w:t>
      </w:r>
      <w:proofErr w:type="gramStart"/>
      <w:r>
        <w:t>and  installing</w:t>
      </w:r>
      <w:proofErr w:type="gramEnd"/>
      <w:r>
        <w:t xml:space="preserve"> the MySQL ODBC connector and using an alternate authentication. </w:t>
      </w:r>
    </w:p>
    <w:p w14:paraId="6715D9E7" w14:textId="77777777" w:rsidR="008C2A20" w:rsidRDefault="007F547B">
      <w:pPr>
        <w:spacing w:after="273"/>
        <w:ind w:left="705" w:right="439" w:hanging="360"/>
      </w:pPr>
      <w:r>
        <w:lastRenderedPageBreak/>
        <w:t>⤲</w:t>
      </w:r>
      <w:r>
        <w:rPr>
          <w:rFonts w:ascii="Arial" w:eastAsia="Arial" w:hAnsi="Arial" w:cs="Arial"/>
        </w:rPr>
        <w:t xml:space="preserve"> </w:t>
      </w:r>
      <w:r>
        <w:rPr>
          <w:b/>
        </w:rPr>
        <w:t xml:space="preserve">Data Cleansing and Normalisation: </w:t>
      </w:r>
      <w:proofErr w:type="gramStart"/>
      <w:r>
        <w:t>The  fields</w:t>
      </w:r>
      <w:proofErr w:type="gramEnd"/>
      <w:r>
        <w:t xml:space="preserve"> </w:t>
      </w:r>
      <w:proofErr w:type="spellStart"/>
      <w:r>
        <w:t>gdp_growth</w:t>
      </w:r>
      <w:proofErr w:type="spellEnd"/>
      <w:r>
        <w:t xml:space="preserve"> and </w:t>
      </w:r>
      <w:proofErr w:type="spellStart"/>
      <w:r>
        <w:t>interest_rate</w:t>
      </w:r>
      <w:proofErr w:type="spellEnd"/>
      <w:r>
        <w:t xml:space="preserve"> were stored as text and had to be converted to numeric types.  Null or placeholder values (e.g., '0' for IPO year) also needed to be cleaned. </w:t>
      </w:r>
    </w:p>
    <w:p w14:paraId="4C555D17" w14:textId="77777777" w:rsidR="008C2A20" w:rsidRDefault="007F547B">
      <w:pPr>
        <w:spacing w:after="313"/>
        <w:ind w:left="705" w:right="439" w:hanging="360"/>
      </w:pPr>
      <w:r>
        <w:t>⤲</w:t>
      </w:r>
      <w:r>
        <w:rPr>
          <w:rFonts w:ascii="Arial" w:eastAsia="Arial" w:hAnsi="Arial" w:cs="Arial"/>
        </w:rPr>
        <w:t xml:space="preserve"> </w:t>
      </w:r>
      <w:r>
        <w:rPr>
          <w:b/>
        </w:rPr>
        <w:t xml:space="preserve">Dashboard Layout Constraints: </w:t>
      </w:r>
      <w:r>
        <w:t xml:space="preserve">Controlling visual clutter especially in dense visuals like the donut chart of </w:t>
      </w:r>
      <w:proofErr w:type="gramStart"/>
      <w:r>
        <w:t>industries  was</w:t>
      </w:r>
      <w:proofErr w:type="gramEnd"/>
      <w:r>
        <w:t xml:space="preserve"> challenging and needed careful formatting. Achieving readability without losing depth of analysis was an ongoing balance. </w:t>
      </w:r>
    </w:p>
    <w:p w14:paraId="01E123F6" w14:textId="77777777" w:rsidR="008C2A20" w:rsidRDefault="007F547B">
      <w:pPr>
        <w:spacing w:after="1" w:line="277" w:lineRule="auto"/>
        <w:ind w:left="730" w:right="299" w:hanging="370"/>
        <w:jc w:val="left"/>
      </w:pPr>
      <w:r>
        <w:t>⤲</w:t>
      </w:r>
      <w:r>
        <w:rPr>
          <w:rFonts w:ascii="Arial" w:eastAsia="Arial" w:hAnsi="Arial" w:cs="Arial"/>
        </w:rPr>
        <w:t xml:space="preserve"> </w:t>
      </w:r>
      <w:r>
        <w:rPr>
          <w:b/>
        </w:rPr>
        <w:t>Rounded Visual Formatting:</w:t>
      </w:r>
      <w:r>
        <w:t xml:space="preserve"> While trying to make large volume numbers and returns easy to read, </w:t>
      </w:r>
      <w:proofErr w:type="gramStart"/>
      <w:r>
        <w:t>Power  BI’s</w:t>
      </w:r>
      <w:proofErr w:type="gramEnd"/>
      <w:r>
        <w:t xml:space="preserve"> formatting options were at times limited and only possible without the use of DAX formulas.</w:t>
      </w:r>
      <w:r>
        <w:rPr>
          <w:rFonts w:ascii="Arial" w:eastAsia="Arial" w:hAnsi="Arial" w:cs="Arial"/>
        </w:rPr>
        <w:t xml:space="preserve"> </w:t>
      </w:r>
    </w:p>
    <w:p w14:paraId="352D375C" w14:textId="77777777" w:rsidR="008C2A20" w:rsidRDefault="007F547B">
      <w:pPr>
        <w:spacing w:after="0" w:line="259" w:lineRule="auto"/>
        <w:ind w:left="720" w:right="0" w:firstLine="0"/>
        <w:jc w:val="left"/>
      </w:pPr>
      <w:r>
        <w:t xml:space="preserve"> </w:t>
      </w:r>
    </w:p>
    <w:p w14:paraId="22B19799" w14:textId="77777777" w:rsidR="008C2A20" w:rsidRDefault="007F547B">
      <w:pPr>
        <w:spacing w:after="397" w:line="259" w:lineRule="auto"/>
        <w:ind w:left="0" w:right="0" w:firstLine="0"/>
        <w:jc w:val="left"/>
      </w:pPr>
      <w:r>
        <w:t xml:space="preserve"> </w:t>
      </w:r>
    </w:p>
    <w:p w14:paraId="12118487" w14:textId="77777777" w:rsidR="008C2A20" w:rsidRDefault="007F547B">
      <w:pPr>
        <w:pStyle w:val="Heading3"/>
        <w:ind w:left="-5"/>
      </w:pPr>
      <w:r>
        <w:t xml:space="preserve">9.3 Limitations of the Analysis </w:t>
      </w:r>
    </w:p>
    <w:p w14:paraId="4515EE82" w14:textId="77777777" w:rsidR="008C2A20" w:rsidRDefault="007F547B">
      <w:pPr>
        <w:spacing w:after="313"/>
        <w:ind w:right="439"/>
      </w:pPr>
      <w:r>
        <w:t xml:space="preserve">It is crucial to note the following limitations of the solution despite </w:t>
      </w:r>
      <w:proofErr w:type="gramStart"/>
      <w:r>
        <w:t>the  fact</w:t>
      </w:r>
      <w:proofErr w:type="gramEnd"/>
      <w:r>
        <w:t xml:space="preserve"> that it offers considerable insights: </w:t>
      </w:r>
    </w:p>
    <w:p w14:paraId="756BC54B" w14:textId="77777777" w:rsidR="008C2A20" w:rsidRDefault="007F547B">
      <w:pPr>
        <w:spacing w:after="272"/>
        <w:ind w:left="705" w:right="439" w:hanging="360"/>
      </w:pPr>
      <w:r>
        <w:t>⥀</w:t>
      </w:r>
      <w:r>
        <w:rPr>
          <w:rFonts w:ascii="Arial" w:eastAsia="Arial" w:hAnsi="Arial" w:cs="Arial"/>
        </w:rPr>
        <w:t xml:space="preserve"> </w:t>
      </w:r>
      <w:r>
        <w:rPr>
          <w:b/>
        </w:rPr>
        <w:t>Static Dataset:</w:t>
      </w:r>
      <w:r>
        <w:t xml:space="preserve"> The analysis uses historical </w:t>
      </w:r>
      <w:proofErr w:type="gramStart"/>
      <w:r>
        <w:t>data  (</w:t>
      </w:r>
      <w:proofErr w:type="gramEnd"/>
      <w:r>
        <w:t xml:space="preserve">2013–2018), limiting real-time forecasting or live market responsiveness. </w:t>
      </w:r>
    </w:p>
    <w:p w14:paraId="427CC6CE" w14:textId="77777777" w:rsidR="008C2A20" w:rsidRDefault="007F547B">
      <w:pPr>
        <w:spacing w:after="312"/>
        <w:ind w:left="705" w:right="439" w:hanging="360"/>
      </w:pPr>
      <w:r>
        <w:t>⥀</w:t>
      </w:r>
      <w:r>
        <w:rPr>
          <w:rFonts w:ascii="Arial" w:eastAsia="Arial" w:hAnsi="Arial" w:cs="Arial"/>
        </w:rPr>
        <w:t xml:space="preserve"> </w:t>
      </w:r>
      <w:r>
        <w:rPr>
          <w:b/>
        </w:rPr>
        <w:t>Lack of Sentiment or News Signals:</w:t>
      </w:r>
      <w:r>
        <w:t xml:space="preserve">  External factors like market sentiment, geopolitical events, or breaking news were not included in the scope. </w:t>
      </w:r>
    </w:p>
    <w:p w14:paraId="47E3B0B7" w14:textId="77777777" w:rsidR="008C2A20" w:rsidRDefault="007F547B">
      <w:pPr>
        <w:spacing w:after="7"/>
        <w:ind w:left="705" w:right="439" w:hanging="360"/>
      </w:pPr>
      <w:r>
        <w:t>⥀</w:t>
      </w:r>
      <w:r>
        <w:rPr>
          <w:rFonts w:ascii="Arial" w:eastAsia="Arial" w:hAnsi="Arial" w:cs="Arial"/>
        </w:rPr>
        <w:t xml:space="preserve"> </w:t>
      </w:r>
      <w:proofErr w:type="gramStart"/>
      <w:r>
        <w:rPr>
          <w:b/>
        </w:rPr>
        <w:t>Limited  Financial</w:t>
      </w:r>
      <w:proofErr w:type="gramEnd"/>
      <w:r>
        <w:rPr>
          <w:b/>
        </w:rPr>
        <w:t xml:space="preserve"> Metrics: </w:t>
      </w:r>
      <w:r>
        <w:t xml:space="preserve">The dashboard focuses solely on stock returns and volumes. The P/E ratio, earnings </w:t>
      </w:r>
      <w:proofErr w:type="gramStart"/>
      <w:r>
        <w:t>per  share</w:t>
      </w:r>
      <w:proofErr w:type="gramEnd"/>
      <w:r>
        <w:t xml:space="preserve"> or debt-to-equity ratios were outside the dataset but could offer further insight.</w:t>
      </w:r>
      <w:r>
        <w:rPr>
          <w:rFonts w:ascii="Arial" w:eastAsia="Arial" w:hAnsi="Arial" w:cs="Arial"/>
        </w:rPr>
        <w:t xml:space="preserve"> </w:t>
      </w:r>
    </w:p>
    <w:p w14:paraId="04FF3B32" w14:textId="77777777" w:rsidR="008C2A20" w:rsidRDefault="007F547B">
      <w:pPr>
        <w:spacing w:after="397" w:line="259" w:lineRule="auto"/>
        <w:ind w:left="720" w:right="0" w:firstLine="0"/>
        <w:jc w:val="left"/>
      </w:pPr>
      <w:r>
        <w:t xml:space="preserve"> </w:t>
      </w:r>
    </w:p>
    <w:p w14:paraId="4E8E910E" w14:textId="77777777" w:rsidR="008C2A20" w:rsidRDefault="007F547B">
      <w:pPr>
        <w:pStyle w:val="Heading3"/>
        <w:ind w:left="-5"/>
      </w:pPr>
      <w:r>
        <w:t xml:space="preserve">9.4 Future Enhancements </w:t>
      </w:r>
    </w:p>
    <w:p w14:paraId="4E5FA026" w14:textId="77777777" w:rsidR="008C2A20" w:rsidRDefault="007F547B">
      <w:pPr>
        <w:ind w:right="439"/>
      </w:pPr>
      <w:r>
        <w:t xml:space="preserve">With more time and </w:t>
      </w:r>
      <w:proofErr w:type="gramStart"/>
      <w:r>
        <w:t>resources</w:t>
      </w:r>
      <w:proofErr w:type="gramEnd"/>
      <w:r>
        <w:t xml:space="preserve"> the following improvements could be made to significantly enhance </w:t>
      </w:r>
      <w:proofErr w:type="gramStart"/>
      <w:r>
        <w:t>the  dashboard’s</w:t>
      </w:r>
      <w:proofErr w:type="gramEnd"/>
      <w:r>
        <w:t xml:space="preserve"> strategic utility: </w:t>
      </w:r>
    </w:p>
    <w:p w14:paraId="458FB862" w14:textId="77777777" w:rsidR="008C2A20" w:rsidRDefault="007F547B">
      <w:pPr>
        <w:ind w:right="439"/>
      </w:pPr>
      <w:r>
        <w:rPr>
          <w:b/>
        </w:rPr>
        <w:t>Live Market Integration:</w:t>
      </w:r>
      <w:r>
        <w:t xml:space="preserve"> To enable more responsive decision-making, connect APIs like </w:t>
      </w:r>
      <w:proofErr w:type="gramStart"/>
      <w:r>
        <w:t>Alpha  Vantage</w:t>
      </w:r>
      <w:proofErr w:type="gramEnd"/>
      <w:r>
        <w:t xml:space="preserve"> or Yahoo Finance to get near real-time data refreshes. </w:t>
      </w:r>
    </w:p>
    <w:p w14:paraId="35A154A1" w14:textId="77777777" w:rsidR="008C2A20" w:rsidRDefault="007F547B">
      <w:pPr>
        <w:ind w:right="439"/>
      </w:pPr>
      <w:r>
        <w:rPr>
          <w:b/>
        </w:rPr>
        <w:t>Forecasting Models:</w:t>
      </w:r>
      <w:r>
        <w:t xml:space="preserve"> Using Python </w:t>
      </w:r>
      <w:proofErr w:type="gramStart"/>
      <w:r>
        <w:t>or  DAX</w:t>
      </w:r>
      <w:proofErr w:type="gramEnd"/>
      <w:r>
        <w:t xml:space="preserve">, incorporating time-series forecasting models (ARIMA or Prophet) to predict stock movements based </w:t>
      </w:r>
      <w:proofErr w:type="gramStart"/>
      <w:r>
        <w:t>on  historical</w:t>
      </w:r>
      <w:proofErr w:type="gramEnd"/>
      <w:r>
        <w:t xml:space="preserve"> trends. </w:t>
      </w:r>
    </w:p>
    <w:p w14:paraId="093873D7" w14:textId="77777777" w:rsidR="008C2A20" w:rsidRDefault="007F547B">
      <w:pPr>
        <w:ind w:right="439"/>
      </w:pPr>
      <w:r>
        <w:rPr>
          <w:b/>
        </w:rPr>
        <w:t xml:space="preserve">Interactive Sector Drill-Down: </w:t>
      </w:r>
      <w:r>
        <w:t xml:space="preserve">To allow users to drill into individual companies or industries </w:t>
      </w:r>
      <w:proofErr w:type="gramStart"/>
      <w:r>
        <w:t>for  comparative</w:t>
      </w:r>
      <w:proofErr w:type="gramEnd"/>
      <w:r>
        <w:t xml:space="preserve"> analysis within or across sectors. </w:t>
      </w:r>
    </w:p>
    <w:p w14:paraId="55C0C04B" w14:textId="77777777" w:rsidR="008C2A20" w:rsidRDefault="007F547B">
      <w:pPr>
        <w:ind w:right="439"/>
      </w:pPr>
      <w:r>
        <w:rPr>
          <w:b/>
        </w:rPr>
        <w:t>Enhanced Financial Analysis:</w:t>
      </w:r>
      <w:r>
        <w:t xml:space="preserve"> Adding valuation metrics and comparing </w:t>
      </w:r>
      <w:proofErr w:type="gramStart"/>
      <w:r>
        <w:t>fundamentals  (</w:t>
      </w:r>
      <w:proofErr w:type="gramEnd"/>
      <w:r>
        <w:t xml:space="preserve">e.g., ROI, margins) across companies to support a more comprehensive investment analysis. </w:t>
      </w:r>
    </w:p>
    <w:p w14:paraId="5E9DD822" w14:textId="77777777" w:rsidR="008C2A20" w:rsidRDefault="007F547B">
      <w:pPr>
        <w:spacing w:after="5"/>
        <w:ind w:right="439"/>
      </w:pPr>
      <w:r>
        <w:rPr>
          <w:b/>
        </w:rPr>
        <w:lastRenderedPageBreak/>
        <w:t>User-</w:t>
      </w:r>
      <w:proofErr w:type="gramStart"/>
      <w:r>
        <w:rPr>
          <w:b/>
        </w:rPr>
        <w:t>Specific  Dashboards</w:t>
      </w:r>
      <w:proofErr w:type="gramEnd"/>
      <w:r>
        <w:rPr>
          <w:b/>
        </w:rPr>
        <w:t>:</w:t>
      </w:r>
      <w:r>
        <w:t xml:space="preserve"> Creating </w:t>
      </w:r>
      <w:proofErr w:type="gramStart"/>
      <w:r>
        <w:t>role based</w:t>
      </w:r>
      <w:proofErr w:type="gramEnd"/>
      <w:r>
        <w:t xml:space="preserve"> dashboards for different personas, for example, equity analyst, risk </w:t>
      </w:r>
      <w:proofErr w:type="gramStart"/>
      <w:r>
        <w:t>manager,  or</w:t>
      </w:r>
      <w:proofErr w:type="gramEnd"/>
      <w:r>
        <w:t xml:space="preserve"> senior portfolio strategist.</w:t>
      </w:r>
      <w:r>
        <w:rPr>
          <w:rFonts w:ascii="Arial" w:eastAsia="Arial" w:hAnsi="Arial" w:cs="Arial"/>
        </w:rPr>
        <w:t xml:space="preserve"> </w:t>
      </w:r>
    </w:p>
    <w:p w14:paraId="687976DA" w14:textId="77777777" w:rsidR="008C2A20" w:rsidRDefault="007F547B">
      <w:pPr>
        <w:spacing w:after="397" w:line="259" w:lineRule="auto"/>
        <w:ind w:left="0" w:right="0" w:firstLine="0"/>
        <w:jc w:val="left"/>
      </w:pPr>
      <w:r>
        <w:t xml:space="preserve"> </w:t>
      </w:r>
    </w:p>
    <w:p w14:paraId="16D1759F" w14:textId="77777777" w:rsidR="008C2A20" w:rsidRDefault="007F547B">
      <w:pPr>
        <w:pStyle w:val="Heading3"/>
        <w:ind w:left="-5"/>
      </w:pPr>
      <w:r>
        <w:t xml:space="preserve">9.5 Alignment to Business Needs </w:t>
      </w:r>
    </w:p>
    <w:p w14:paraId="7C9A01DD" w14:textId="77777777" w:rsidR="008C2A20" w:rsidRDefault="007F547B">
      <w:pPr>
        <w:spacing w:after="313"/>
        <w:ind w:right="439"/>
      </w:pPr>
      <w:r>
        <w:t xml:space="preserve">The dashboard delivers value by turning </w:t>
      </w:r>
      <w:proofErr w:type="gramStart"/>
      <w:r>
        <w:t>raw  financial</w:t>
      </w:r>
      <w:proofErr w:type="gramEnd"/>
      <w:r>
        <w:t xml:space="preserve"> data into actionable insights. For a firm like Fidelity Investments, this dashboard would: </w:t>
      </w:r>
    </w:p>
    <w:p w14:paraId="3B4688D3" w14:textId="77777777" w:rsidR="008C2A20" w:rsidRDefault="007F547B">
      <w:pPr>
        <w:ind w:left="705" w:right="439" w:hanging="360"/>
      </w:pPr>
      <w:r>
        <w:t>⟾</w:t>
      </w:r>
      <w:r>
        <w:rPr>
          <w:rFonts w:ascii="Arial" w:eastAsia="Arial" w:hAnsi="Arial" w:cs="Arial"/>
        </w:rPr>
        <w:t xml:space="preserve"> </w:t>
      </w:r>
      <w:r>
        <w:rPr>
          <w:b/>
        </w:rPr>
        <w:t xml:space="preserve">Support </w:t>
      </w:r>
      <w:proofErr w:type="gramStart"/>
      <w:r>
        <w:rPr>
          <w:b/>
        </w:rPr>
        <w:t>Portfolio  Management</w:t>
      </w:r>
      <w:proofErr w:type="gramEnd"/>
      <w:r>
        <w:rPr>
          <w:b/>
        </w:rPr>
        <w:t xml:space="preserve">: </w:t>
      </w:r>
      <w:r>
        <w:t xml:space="preserve">Fast identification of top-performing sectors and stocks helps in dynamic portfolio allocation and risk mitigation. </w:t>
      </w:r>
    </w:p>
    <w:p w14:paraId="1BFBE524" w14:textId="77777777" w:rsidR="008C2A20" w:rsidRDefault="007F547B">
      <w:pPr>
        <w:ind w:left="705" w:right="439" w:hanging="360"/>
      </w:pPr>
      <w:r>
        <w:t>⟾</w:t>
      </w:r>
      <w:r>
        <w:rPr>
          <w:rFonts w:ascii="Arial" w:eastAsia="Arial" w:hAnsi="Arial" w:cs="Arial"/>
        </w:rPr>
        <w:t xml:space="preserve"> </w:t>
      </w:r>
      <w:r>
        <w:rPr>
          <w:b/>
        </w:rPr>
        <w:t xml:space="preserve">Assist in Economic Contextualisation: </w:t>
      </w:r>
      <w:r>
        <w:t xml:space="preserve">The inclusion of interest and inflation rates helps strategists to </w:t>
      </w:r>
      <w:proofErr w:type="gramStart"/>
      <w:r>
        <w:t>understand  the</w:t>
      </w:r>
      <w:proofErr w:type="gramEnd"/>
      <w:r>
        <w:t xml:space="preserve"> performance in a macroeconomic environment. </w:t>
      </w:r>
    </w:p>
    <w:p w14:paraId="29924B6E" w14:textId="77777777" w:rsidR="008C2A20" w:rsidRDefault="007F547B">
      <w:pPr>
        <w:ind w:right="439"/>
      </w:pPr>
      <w:r>
        <w:t xml:space="preserve">The BI solution transforms historical stock and economic data </w:t>
      </w:r>
      <w:proofErr w:type="gramStart"/>
      <w:r>
        <w:t>into  a</w:t>
      </w:r>
      <w:proofErr w:type="gramEnd"/>
      <w:r>
        <w:t xml:space="preserve"> strategic decision-making asset for a leading investment firm. </w:t>
      </w:r>
    </w:p>
    <w:p w14:paraId="6C647B06" w14:textId="77777777" w:rsidR="008C2A20" w:rsidRDefault="007F547B">
      <w:pPr>
        <w:spacing w:after="495" w:line="259" w:lineRule="auto"/>
        <w:ind w:left="0" w:right="0" w:firstLine="0"/>
        <w:jc w:val="left"/>
      </w:pPr>
      <w:r>
        <w:t xml:space="preserve"> </w:t>
      </w:r>
    </w:p>
    <w:p w14:paraId="65D07AA1" w14:textId="77777777" w:rsidR="008C2A20" w:rsidRDefault="007F547B">
      <w:pPr>
        <w:pStyle w:val="Heading1"/>
        <w:ind w:left="-5"/>
      </w:pPr>
      <w:bookmarkStart w:id="29" w:name="_Toc57573"/>
      <w:r>
        <w:t xml:space="preserve">10. Conclusion </w:t>
      </w:r>
      <w:bookmarkEnd w:id="29"/>
    </w:p>
    <w:p w14:paraId="09FD7099" w14:textId="77777777" w:rsidR="008C2A20" w:rsidRDefault="007F547B">
      <w:pPr>
        <w:ind w:right="439"/>
      </w:pPr>
      <w:r>
        <w:t xml:space="preserve">This project showed how </w:t>
      </w:r>
      <w:proofErr w:type="gramStart"/>
      <w:r>
        <w:t>to  build</w:t>
      </w:r>
      <w:proofErr w:type="gramEnd"/>
      <w:r>
        <w:t xml:space="preserve"> a Business Intelligence solution for </w:t>
      </w:r>
      <w:proofErr w:type="spellStart"/>
      <w:r>
        <w:t>analyzing</w:t>
      </w:r>
      <w:proofErr w:type="spellEnd"/>
      <w:r>
        <w:t xml:space="preserve"> stock performance and macroeconomic trends for Fidelity Investments </w:t>
      </w:r>
      <w:proofErr w:type="gramStart"/>
      <w:r>
        <w:t>through  end</w:t>
      </w:r>
      <w:proofErr w:type="gramEnd"/>
      <w:r>
        <w:t xml:space="preserve">-to-end development. The solution merged stock price data with company metadata and macroeconomic indicators in </w:t>
      </w:r>
      <w:proofErr w:type="gramStart"/>
      <w:r>
        <w:t>a  MySQL</w:t>
      </w:r>
      <w:proofErr w:type="gramEnd"/>
      <w:r>
        <w:t xml:space="preserve">-hosted star schema to generate interactive Power BI dashboards. </w:t>
      </w:r>
    </w:p>
    <w:p w14:paraId="5AD54598" w14:textId="77777777" w:rsidR="008C2A20" w:rsidRDefault="007F547B">
      <w:pPr>
        <w:ind w:right="439"/>
      </w:pPr>
      <w:r>
        <w:t xml:space="preserve">The Python transformation and extraction process resulted in </w:t>
      </w:r>
      <w:proofErr w:type="gramStart"/>
      <w:r>
        <w:t>uniform  and</w:t>
      </w:r>
      <w:proofErr w:type="gramEnd"/>
      <w:r>
        <w:t xml:space="preserve"> clean data tables that shared a common monthly time step. The resulting warehouse allowed users to slice </w:t>
      </w:r>
      <w:proofErr w:type="gramStart"/>
      <w:r>
        <w:t>data  through</w:t>
      </w:r>
      <w:proofErr w:type="gramEnd"/>
      <w:r>
        <w:t xml:space="preserve"> sector and ticker and industry and economic conditions. The visualizations answered essential investment questions by displaying </w:t>
      </w:r>
      <w:proofErr w:type="gramStart"/>
      <w:r>
        <w:t>which  sectors</w:t>
      </w:r>
      <w:proofErr w:type="gramEnd"/>
      <w:r>
        <w:t xml:space="preserve"> performed better than others and which stocks performed well and which macro factors affected </w:t>
      </w:r>
      <w:proofErr w:type="gramStart"/>
      <w:r>
        <w:t>returns</w:t>
      </w:r>
      <w:proofErr w:type="gramEnd"/>
      <w:r>
        <w:t xml:space="preserve"> and which markets </w:t>
      </w:r>
      <w:proofErr w:type="gramStart"/>
      <w:r>
        <w:t>had  high</w:t>
      </w:r>
      <w:proofErr w:type="gramEnd"/>
      <w:r>
        <w:t xml:space="preserve"> liquidity. </w:t>
      </w:r>
    </w:p>
    <w:p w14:paraId="42DBB1E8" w14:textId="77777777" w:rsidR="008C2A20" w:rsidRDefault="007F547B">
      <w:pPr>
        <w:ind w:right="439"/>
      </w:pPr>
      <w:r>
        <w:t xml:space="preserve">The Fidelity Investments dashboard delivers essential value to different departments within the organization. </w:t>
      </w:r>
    </w:p>
    <w:p w14:paraId="0144FB62" w14:textId="77777777" w:rsidR="008C2A20" w:rsidRDefault="007F547B">
      <w:pPr>
        <w:numPr>
          <w:ilvl w:val="0"/>
          <w:numId w:val="24"/>
        </w:numPr>
        <w:spacing w:after="224" w:line="259" w:lineRule="auto"/>
        <w:ind w:right="439" w:hanging="360"/>
      </w:pPr>
      <w:r>
        <w:t xml:space="preserve">Portfolio </w:t>
      </w:r>
      <w:proofErr w:type="gramStart"/>
      <w:r>
        <w:t>managers  track</w:t>
      </w:r>
      <w:proofErr w:type="gramEnd"/>
      <w:r>
        <w:t xml:space="preserve"> sector rotation patterns as they evaluate performance fluctuations. </w:t>
      </w:r>
    </w:p>
    <w:p w14:paraId="4E6C99DF" w14:textId="77777777" w:rsidR="008C2A20" w:rsidRDefault="007F547B">
      <w:pPr>
        <w:numPr>
          <w:ilvl w:val="0"/>
          <w:numId w:val="24"/>
        </w:numPr>
        <w:ind w:right="439" w:hanging="360"/>
      </w:pPr>
      <w:r>
        <w:t xml:space="preserve">Analysts utilize the system to </w:t>
      </w:r>
      <w:proofErr w:type="spellStart"/>
      <w:r>
        <w:t>analyze</w:t>
      </w:r>
      <w:proofErr w:type="spellEnd"/>
      <w:r>
        <w:t xml:space="preserve"> return drivers </w:t>
      </w:r>
      <w:proofErr w:type="gramStart"/>
      <w:r>
        <w:t>while  identifying</w:t>
      </w:r>
      <w:proofErr w:type="gramEnd"/>
      <w:r>
        <w:t xml:space="preserve"> strong performing assets and underperforming assets. </w:t>
      </w:r>
    </w:p>
    <w:p w14:paraId="3757CD7D" w14:textId="77777777" w:rsidR="008C2A20" w:rsidRDefault="007F547B">
      <w:pPr>
        <w:numPr>
          <w:ilvl w:val="0"/>
          <w:numId w:val="24"/>
        </w:numPr>
        <w:ind w:right="439" w:hanging="360"/>
      </w:pPr>
      <w:r>
        <w:t xml:space="preserve">Risk teams can utilize market </w:t>
      </w:r>
      <w:proofErr w:type="spellStart"/>
      <w:r>
        <w:t>behavior</w:t>
      </w:r>
      <w:proofErr w:type="spellEnd"/>
      <w:r>
        <w:t xml:space="preserve"> data in combination </w:t>
      </w:r>
      <w:proofErr w:type="gramStart"/>
      <w:r>
        <w:t>with  economic</w:t>
      </w:r>
      <w:proofErr w:type="gramEnd"/>
      <w:r>
        <w:t xml:space="preserve"> indicators to develop exposure plans. </w:t>
      </w:r>
    </w:p>
    <w:p w14:paraId="3E7312AC" w14:textId="77777777" w:rsidR="008C2A20" w:rsidRDefault="007F547B">
      <w:pPr>
        <w:ind w:right="439"/>
      </w:pPr>
      <w:r>
        <w:t xml:space="preserve">The dashboard uses historical data to generate strategic insights while its architecture </w:t>
      </w:r>
      <w:proofErr w:type="gramStart"/>
      <w:r>
        <w:t>allows  future</w:t>
      </w:r>
      <w:proofErr w:type="gramEnd"/>
      <w:r>
        <w:t xml:space="preserve"> expansion. Additional development would allow the architecture to receive real-time data feeds and implement predictive analytics </w:t>
      </w:r>
      <w:proofErr w:type="gramStart"/>
      <w:r>
        <w:t>and  ESG</w:t>
      </w:r>
      <w:proofErr w:type="gramEnd"/>
      <w:r>
        <w:t xml:space="preserve"> metrics integration. </w:t>
      </w:r>
    </w:p>
    <w:p w14:paraId="5DC03493" w14:textId="4B6A3263" w:rsidR="008C2A20" w:rsidRDefault="007F547B" w:rsidP="00470233">
      <w:pPr>
        <w:ind w:right="439"/>
      </w:pPr>
      <w:r>
        <w:lastRenderedPageBreak/>
        <w:t xml:space="preserve">The integrated BI pipeline demonstrates substantial analytical depth and operational value and visual clarity for high-stakes decision-making within institutional finance by using open-source and enterprise-friendly tools. </w:t>
      </w:r>
    </w:p>
    <w:p w14:paraId="31ADCAB6" w14:textId="77777777" w:rsidR="008C2A20" w:rsidRDefault="007F547B">
      <w:pPr>
        <w:spacing w:after="0" w:line="259" w:lineRule="auto"/>
        <w:ind w:left="0" w:right="0" w:firstLine="0"/>
        <w:jc w:val="left"/>
      </w:pPr>
      <w:r>
        <w:t xml:space="preserve"> </w:t>
      </w:r>
    </w:p>
    <w:p w14:paraId="734683C0" w14:textId="77777777" w:rsidR="008C2A20" w:rsidRDefault="007F547B">
      <w:pPr>
        <w:pStyle w:val="Heading1"/>
        <w:spacing w:after="25"/>
        <w:ind w:left="-5"/>
      </w:pPr>
      <w:bookmarkStart w:id="30" w:name="_Toc57575"/>
      <w:r>
        <w:t xml:space="preserve">12. Appendix </w:t>
      </w:r>
      <w:bookmarkEnd w:id="30"/>
    </w:p>
    <w:p w14:paraId="73396292" w14:textId="77777777" w:rsidR="008C2A20" w:rsidRDefault="007F547B">
      <w:pPr>
        <w:spacing w:after="265" w:line="259" w:lineRule="auto"/>
        <w:ind w:left="0" w:right="0" w:firstLine="0"/>
        <w:jc w:val="left"/>
      </w:pPr>
      <w:r>
        <w:rPr>
          <w:rFonts w:ascii="Arial" w:eastAsia="Arial" w:hAnsi="Arial" w:cs="Arial"/>
        </w:rPr>
        <w:t xml:space="preserve"> </w:t>
      </w:r>
    </w:p>
    <w:p w14:paraId="7B8764C2" w14:textId="77777777" w:rsidR="008C2A20" w:rsidRDefault="007F547B">
      <w:pPr>
        <w:ind w:right="439"/>
      </w:pPr>
      <w:r>
        <w:t xml:space="preserve">This appendix includes supporting artefacts that provide evidence of the technical implementation and back-end development of the BI solution. The materials were not included in the main body of the report but were essential to the construction of the data pipeline and model. </w:t>
      </w:r>
    </w:p>
    <w:p w14:paraId="14317212" w14:textId="77777777" w:rsidR="008C2A20" w:rsidRDefault="007F547B">
      <w:pPr>
        <w:spacing w:after="58" w:line="259" w:lineRule="auto"/>
        <w:ind w:left="0" w:right="0" w:firstLine="0"/>
        <w:jc w:val="left"/>
      </w:pPr>
      <w:r>
        <w:t xml:space="preserve"> </w:t>
      </w:r>
    </w:p>
    <w:p w14:paraId="47F1DF4D" w14:textId="77777777" w:rsidR="008C2A20" w:rsidRDefault="007F547B">
      <w:pPr>
        <w:pStyle w:val="Heading3"/>
        <w:spacing w:after="223"/>
        <w:ind w:left="-5"/>
      </w:pPr>
      <w:r>
        <w:rPr>
          <w:sz w:val="26"/>
        </w:rPr>
        <w:t xml:space="preserve">12.1 ETL Process Flowchart </w:t>
      </w:r>
    </w:p>
    <w:p w14:paraId="251060BF" w14:textId="77777777" w:rsidR="008C2A20" w:rsidRDefault="007F547B">
      <w:pPr>
        <w:spacing w:after="259" w:line="259" w:lineRule="auto"/>
        <w:ind w:left="0" w:right="330" w:firstLine="0"/>
        <w:jc w:val="right"/>
      </w:pPr>
      <w:r>
        <w:rPr>
          <w:noProof/>
        </w:rPr>
        <w:drawing>
          <wp:inline distT="0" distB="0" distL="0" distR="0" wp14:anchorId="61F837FB" wp14:editId="0A88819C">
            <wp:extent cx="5734050" cy="3228975"/>
            <wp:effectExtent l="0" t="0" r="0" b="0"/>
            <wp:docPr id="10122" name="Picture 10122"/>
            <wp:cNvGraphicFramePr/>
            <a:graphic xmlns:a="http://schemas.openxmlformats.org/drawingml/2006/main">
              <a:graphicData uri="http://schemas.openxmlformats.org/drawingml/2006/picture">
                <pic:pic xmlns:pic="http://schemas.openxmlformats.org/drawingml/2006/picture">
                  <pic:nvPicPr>
                    <pic:cNvPr id="10122" name="Picture 10122"/>
                    <pic:cNvPicPr/>
                  </pic:nvPicPr>
                  <pic:blipFill>
                    <a:blip r:embed="rId7"/>
                    <a:stretch>
                      <a:fillRect/>
                    </a:stretch>
                  </pic:blipFill>
                  <pic:spPr>
                    <a:xfrm>
                      <a:off x="0" y="0"/>
                      <a:ext cx="5734050" cy="3228975"/>
                    </a:xfrm>
                    <a:prstGeom prst="rect">
                      <a:avLst/>
                    </a:prstGeom>
                  </pic:spPr>
                </pic:pic>
              </a:graphicData>
            </a:graphic>
          </wp:inline>
        </w:drawing>
      </w:r>
      <w:r>
        <w:rPr>
          <w:b/>
        </w:rPr>
        <w:t xml:space="preserve"> </w:t>
      </w:r>
    </w:p>
    <w:p w14:paraId="005C35B7" w14:textId="77777777" w:rsidR="008C2A20" w:rsidRDefault="007F547B">
      <w:pPr>
        <w:ind w:right="439"/>
      </w:pPr>
      <w:r>
        <w:t>This diagram illustrates the full ETL process used in the project — from extracting raw stock and macroeconomic data to delivering interactive dashboards in Power BI. The process was executed using Python for transformation, MySQL for data warehousing, and Power BI for visualisation.</w:t>
      </w:r>
      <w:r>
        <w:rPr>
          <w:i/>
        </w:rPr>
        <w:t xml:space="preserve"> </w:t>
      </w:r>
    </w:p>
    <w:p w14:paraId="6C85550A" w14:textId="77777777" w:rsidR="008C2A20" w:rsidRDefault="007F547B">
      <w:pPr>
        <w:spacing w:after="58" w:line="259" w:lineRule="auto"/>
        <w:ind w:left="0" w:right="0" w:firstLine="0"/>
        <w:jc w:val="left"/>
      </w:pPr>
      <w:r>
        <w:t xml:space="preserve"> </w:t>
      </w:r>
    </w:p>
    <w:p w14:paraId="521C5D3D" w14:textId="77777777" w:rsidR="008C2A20" w:rsidRDefault="007F547B">
      <w:pPr>
        <w:pStyle w:val="Heading3"/>
        <w:spacing w:after="223"/>
        <w:ind w:left="-5"/>
      </w:pPr>
      <w:r>
        <w:rPr>
          <w:sz w:val="26"/>
        </w:rPr>
        <w:lastRenderedPageBreak/>
        <w:t xml:space="preserve">12.2 Entity Relationship Diagram (ERD) </w:t>
      </w:r>
    </w:p>
    <w:p w14:paraId="2531D816" w14:textId="77777777" w:rsidR="008C2A20" w:rsidRDefault="007F547B">
      <w:pPr>
        <w:spacing w:after="154" w:line="259" w:lineRule="auto"/>
        <w:ind w:left="90" w:right="0" w:firstLine="0"/>
        <w:jc w:val="left"/>
      </w:pPr>
      <w:r>
        <w:rPr>
          <w:noProof/>
        </w:rPr>
        <w:drawing>
          <wp:inline distT="0" distB="0" distL="0" distR="0" wp14:anchorId="31E106F4" wp14:editId="20D48AD8">
            <wp:extent cx="5734050" cy="5191125"/>
            <wp:effectExtent l="0" t="0" r="0" b="0"/>
            <wp:docPr id="10252" name="Picture 10252"/>
            <wp:cNvGraphicFramePr/>
            <a:graphic xmlns:a="http://schemas.openxmlformats.org/drawingml/2006/main">
              <a:graphicData uri="http://schemas.openxmlformats.org/drawingml/2006/picture">
                <pic:pic xmlns:pic="http://schemas.openxmlformats.org/drawingml/2006/picture">
                  <pic:nvPicPr>
                    <pic:cNvPr id="10252" name="Picture 10252"/>
                    <pic:cNvPicPr/>
                  </pic:nvPicPr>
                  <pic:blipFill>
                    <a:blip r:embed="rId8"/>
                    <a:stretch>
                      <a:fillRect/>
                    </a:stretch>
                  </pic:blipFill>
                  <pic:spPr>
                    <a:xfrm>
                      <a:off x="0" y="0"/>
                      <a:ext cx="5734050" cy="5191125"/>
                    </a:xfrm>
                    <a:prstGeom prst="rect">
                      <a:avLst/>
                    </a:prstGeom>
                  </pic:spPr>
                </pic:pic>
              </a:graphicData>
            </a:graphic>
          </wp:inline>
        </w:drawing>
      </w:r>
    </w:p>
    <w:p w14:paraId="043B7F31" w14:textId="77777777" w:rsidR="008C2A20" w:rsidRDefault="007F547B">
      <w:pPr>
        <w:spacing w:after="259" w:line="259" w:lineRule="auto"/>
        <w:ind w:left="0" w:right="394" w:firstLine="0"/>
        <w:jc w:val="center"/>
      </w:pPr>
      <w:r>
        <w:rPr>
          <w:b/>
        </w:rPr>
        <w:t xml:space="preserve"> </w:t>
      </w:r>
    </w:p>
    <w:p w14:paraId="798B1AF1" w14:textId="77777777" w:rsidR="008C2A20" w:rsidRDefault="007F547B">
      <w:pPr>
        <w:spacing w:after="369"/>
        <w:ind w:right="439"/>
      </w:pPr>
      <w:r>
        <w:t xml:space="preserve">The data warehouse was modelled using a star schema consisting of one fact table and </w:t>
      </w:r>
      <w:proofErr w:type="gramStart"/>
      <w:r>
        <w:t>two dimension</w:t>
      </w:r>
      <w:proofErr w:type="gramEnd"/>
      <w:r>
        <w:t xml:space="preserve"> tables. The ERD below shows the one-to-many relationships between </w:t>
      </w:r>
      <w:proofErr w:type="spellStart"/>
      <w:r>
        <w:rPr>
          <w:rFonts w:ascii="Courier New" w:eastAsia="Courier New" w:hAnsi="Courier New" w:cs="Courier New"/>
          <w:color w:val="188038"/>
        </w:rPr>
        <w:t>FactStockMonthly</w:t>
      </w:r>
      <w:proofErr w:type="spellEnd"/>
      <w:r>
        <w:t xml:space="preserve">, </w:t>
      </w:r>
      <w:proofErr w:type="spellStart"/>
      <w:r>
        <w:rPr>
          <w:rFonts w:ascii="Courier New" w:eastAsia="Courier New" w:hAnsi="Courier New" w:cs="Courier New"/>
          <w:color w:val="188038"/>
        </w:rPr>
        <w:t>DimCompany</w:t>
      </w:r>
      <w:proofErr w:type="spellEnd"/>
      <w:r>
        <w:t xml:space="preserve">, and </w:t>
      </w:r>
      <w:proofErr w:type="spellStart"/>
      <w:r>
        <w:rPr>
          <w:rFonts w:ascii="Courier New" w:eastAsia="Courier New" w:hAnsi="Courier New" w:cs="Courier New"/>
          <w:color w:val="188038"/>
        </w:rPr>
        <w:t>DimDate</w:t>
      </w:r>
      <w:proofErr w:type="spellEnd"/>
      <w:r>
        <w:t xml:space="preserve">. </w:t>
      </w:r>
    </w:p>
    <w:p w14:paraId="68958CD4" w14:textId="77777777" w:rsidR="008C2A20" w:rsidRDefault="007F547B">
      <w:pPr>
        <w:pStyle w:val="Heading3"/>
        <w:spacing w:after="223"/>
        <w:ind w:left="-5"/>
      </w:pPr>
      <w:r>
        <w:rPr>
          <w:sz w:val="26"/>
        </w:rPr>
        <w:t xml:space="preserve">12.3 Sample Python Code (ETL Script) </w:t>
      </w:r>
    </w:p>
    <w:p w14:paraId="4C4895D4" w14:textId="77777777" w:rsidR="008C2A20" w:rsidRDefault="007F547B">
      <w:pPr>
        <w:ind w:right="439"/>
      </w:pPr>
      <w:r>
        <w:t xml:space="preserve">The following Python snippet shows the logic used to transform raw daily stock price data into monthly-level aggregates during the ETL process. </w:t>
      </w:r>
    </w:p>
    <w:p w14:paraId="17A8C6AD" w14:textId="77777777" w:rsidR="008C2A20" w:rsidRDefault="007F547B">
      <w:pPr>
        <w:spacing w:after="19" w:line="259" w:lineRule="auto"/>
        <w:ind w:left="0" w:right="330" w:firstLine="0"/>
        <w:jc w:val="right"/>
      </w:pPr>
      <w:r>
        <w:rPr>
          <w:noProof/>
        </w:rPr>
        <w:lastRenderedPageBreak/>
        <w:drawing>
          <wp:inline distT="0" distB="0" distL="0" distR="0" wp14:anchorId="14DF4FE5" wp14:editId="5608CC59">
            <wp:extent cx="5734050" cy="2857500"/>
            <wp:effectExtent l="0" t="0" r="0" b="0"/>
            <wp:docPr id="10324" name="Picture 10324"/>
            <wp:cNvGraphicFramePr/>
            <a:graphic xmlns:a="http://schemas.openxmlformats.org/drawingml/2006/main">
              <a:graphicData uri="http://schemas.openxmlformats.org/drawingml/2006/picture">
                <pic:pic xmlns:pic="http://schemas.openxmlformats.org/drawingml/2006/picture">
                  <pic:nvPicPr>
                    <pic:cNvPr id="10324" name="Picture 10324"/>
                    <pic:cNvPicPr/>
                  </pic:nvPicPr>
                  <pic:blipFill>
                    <a:blip r:embed="rId15"/>
                    <a:stretch>
                      <a:fillRect/>
                    </a:stretch>
                  </pic:blipFill>
                  <pic:spPr>
                    <a:xfrm>
                      <a:off x="0" y="0"/>
                      <a:ext cx="5734050" cy="2857500"/>
                    </a:xfrm>
                    <a:prstGeom prst="rect">
                      <a:avLst/>
                    </a:prstGeom>
                  </pic:spPr>
                </pic:pic>
              </a:graphicData>
            </a:graphic>
          </wp:inline>
        </w:drawing>
      </w:r>
      <w:r>
        <w:rPr>
          <w:b/>
          <w:color w:val="188038"/>
        </w:rPr>
        <w:t xml:space="preserve"> </w:t>
      </w:r>
    </w:p>
    <w:p w14:paraId="40DA9A76" w14:textId="77777777" w:rsidR="008C2A20" w:rsidRDefault="007F547B">
      <w:pPr>
        <w:spacing w:after="19" w:line="259" w:lineRule="auto"/>
        <w:ind w:left="0" w:right="0" w:firstLine="0"/>
        <w:jc w:val="left"/>
      </w:pPr>
      <w:r>
        <w:t xml:space="preserve"> </w:t>
      </w:r>
    </w:p>
    <w:p w14:paraId="1D6482E0" w14:textId="77777777" w:rsidR="008C2A20" w:rsidRDefault="007F547B">
      <w:pPr>
        <w:spacing w:after="58" w:line="259" w:lineRule="auto"/>
        <w:ind w:left="0" w:right="0" w:firstLine="0"/>
        <w:jc w:val="left"/>
      </w:pPr>
      <w:r>
        <w:t xml:space="preserve"> </w:t>
      </w:r>
    </w:p>
    <w:p w14:paraId="33FD9555" w14:textId="77777777" w:rsidR="008C2A20" w:rsidRDefault="007F547B">
      <w:pPr>
        <w:pStyle w:val="Heading3"/>
        <w:spacing w:after="223"/>
        <w:ind w:left="-5"/>
      </w:pPr>
      <w:r>
        <w:rPr>
          <w:sz w:val="26"/>
        </w:rPr>
        <w:t>12.4 Sample SQL Code (Fact Table Creation)</w:t>
      </w:r>
      <w:r>
        <w:rPr>
          <w:color w:val="000000"/>
          <w:sz w:val="22"/>
        </w:rPr>
        <w:t xml:space="preserve"> </w:t>
      </w:r>
    </w:p>
    <w:p w14:paraId="22569C12" w14:textId="77777777" w:rsidR="008C2A20" w:rsidRDefault="007F547B">
      <w:pPr>
        <w:spacing w:after="15"/>
        <w:ind w:right="439"/>
      </w:pPr>
      <w:r>
        <w:t xml:space="preserve">The fact table below stores stock performance metrics by company and month. It was created using the following SQL statement in MySQL Workbench. </w:t>
      </w:r>
    </w:p>
    <w:p w14:paraId="6FAE2F3C" w14:textId="77777777" w:rsidR="008C2A20" w:rsidRDefault="007F547B">
      <w:pPr>
        <w:spacing w:after="0" w:line="259" w:lineRule="auto"/>
        <w:ind w:left="0" w:right="0" w:firstLine="0"/>
        <w:jc w:val="left"/>
      </w:pPr>
      <w:r>
        <w:rPr>
          <w:noProof/>
        </w:rPr>
        <w:drawing>
          <wp:inline distT="0" distB="0" distL="0" distR="0" wp14:anchorId="2A94491A" wp14:editId="15C52AF6">
            <wp:extent cx="5108449" cy="4870704"/>
            <wp:effectExtent l="0" t="0" r="0" b="0"/>
            <wp:docPr id="56719" name="Picture 56719"/>
            <wp:cNvGraphicFramePr/>
            <a:graphic xmlns:a="http://schemas.openxmlformats.org/drawingml/2006/main">
              <a:graphicData uri="http://schemas.openxmlformats.org/drawingml/2006/picture">
                <pic:pic xmlns:pic="http://schemas.openxmlformats.org/drawingml/2006/picture">
                  <pic:nvPicPr>
                    <pic:cNvPr id="56719" name="Picture 56719"/>
                    <pic:cNvPicPr/>
                  </pic:nvPicPr>
                  <pic:blipFill>
                    <a:blip r:embed="rId16"/>
                    <a:stretch>
                      <a:fillRect/>
                    </a:stretch>
                  </pic:blipFill>
                  <pic:spPr>
                    <a:xfrm>
                      <a:off x="0" y="0"/>
                      <a:ext cx="5108449" cy="4870704"/>
                    </a:xfrm>
                    <a:prstGeom prst="rect">
                      <a:avLst/>
                    </a:prstGeom>
                  </pic:spPr>
                </pic:pic>
              </a:graphicData>
            </a:graphic>
          </wp:inline>
        </w:drawing>
      </w:r>
    </w:p>
    <w:p w14:paraId="085702B1" w14:textId="77777777" w:rsidR="008C2A20" w:rsidRDefault="007F547B">
      <w:pPr>
        <w:spacing w:after="47" w:line="259" w:lineRule="auto"/>
        <w:ind w:left="0" w:right="0" w:firstLine="0"/>
        <w:jc w:val="left"/>
      </w:pPr>
      <w:r>
        <w:rPr>
          <w:rFonts w:ascii="Courier New" w:eastAsia="Courier New" w:hAnsi="Courier New" w:cs="Courier New"/>
          <w:color w:val="188038"/>
        </w:rPr>
        <w:t xml:space="preserve"> </w:t>
      </w:r>
    </w:p>
    <w:p w14:paraId="0D0EF760" w14:textId="77777777" w:rsidR="008C2A20" w:rsidRDefault="007F547B">
      <w:pPr>
        <w:spacing w:after="0" w:line="259" w:lineRule="auto"/>
        <w:ind w:left="0" w:right="0" w:firstLine="0"/>
        <w:jc w:val="left"/>
      </w:pPr>
      <w:r>
        <w:lastRenderedPageBreak/>
        <w:t xml:space="preserve"> </w:t>
      </w:r>
    </w:p>
    <w:p w14:paraId="1234E4C3" w14:textId="77777777" w:rsidR="008C2A20" w:rsidRDefault="007F547B">
      <w:pPr>
        <w:spacing w:after="0" w:line="259" w:lineRule="auto"/>
        <w:ind w:left="0" w:right="330" w:firstLine="0"/>
        <w:jc w:val="right"/>
      </w:pPr>
      <w:r>
        <w:rPr>
          <w:noProof/>
        </w:rPr>
        <w:drawing>
          <wp:inline distT="0" distB="0" distL="0" distR="0" wp14:anchorId="480DE1E7" wp14:editId="57A04025">
            <wp:extent cx="5734050" cy="2895600"/>
            <wp:effectExtent l="0" t="0" r="0" b="0"/>
            <wp:docPr id="10338" name="Picture 10338"/>
            <wp:cNvGraphicFramePr/>
            <a:graphic xmlns:a="http://schemas.openxmlformats.org/drawingml/2006/main">
              <a:graphicData uri="http://schemas.openxmlformats.org/drawingml/2006/picture">
                <pic:pic xmlns:pic="http://schemas.openxmlformats.org/drawingml/2006/picture">
                  <pic:nvPicPr>
                    <pic:cNvPr id="10338" name="Picture 10338"/>
                    <pic:cNvPicPr/>
                  </pic:nvPicPr>
                  <pic:blipFill>
                    <a:blip r:embed="rId17"/>
                    <a:stretch>
                      <a:fillRect/>
                    </a:stretch>
                  </pic:blipFill>
                  <pic:spPr>
                    <a:xfrm>
                      <a:off x="0" y="0"/>
                      <a:ext cx="5734050" cy="2895600"/>
                    </a:xfrm>
                    <a:prstGeom prst="rect">
                      <a:avLst/>
                    </a:prstGeom>
                  </pic:spPr>
                </pic:pic>
              </a:graphicData>
            </a:graphic>
          </wp:inline>
        </w:drawing>
      </w:r>
      <w:r>
        <w:t xml:space="preserve"> </w:t>
      </w:r>
    </w:p>
    <w:sectPr w:rsidR="008C2A20">
      <w:footerReference w:type="even" r:id="rId18"/>
      <w:footerReference w:type="default" r:id="rId19"/>
      <w:footerReference w:type="first" r:id="rId20"/>
      <w:pgSz w:w="11920" w:h="16840"/>
      <w:pgMar w:top="1440" w:right="1010" w:bottom="630" w:left="1440" w:header="720" w:footer="7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D57EF7" w14:textId="77777777" w:rsidR="00FF1BEC" w:rsidRDefault="00FF1BEC">
      <w:pPr>
        <w:spacing w:after="0" w:line="240" w:lineRule="auto"/>
      </w:pPr>
      <w:r>
        <w:separator/>
      </w:r>
    </w:p>
  </w:endnote>
  <w:endnote w:type="continuationSeparator" w:id="0">
    <w:p w14:paraId="1ED86E8F" w14:textId="77777777" w:rsidR="00FF1BEC" w:rsidRDefault="00FF1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CCD37" w14:textId="77777777" w:rsidR="008C2A20" w:rsidRDefault="007F547B">
    <w:pPr>
      <w:spacing w:after="0" w:line="259" w:lineRule="auto"/>
      <w:ind w:left="0" w:right="444"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092A9" w14:textId="77777777" w:rsidR="008C2A20" w:rsidRDefault="007F547B">
    <w:pPr>
      <w:spacing w:after="0" w:line="259" w:lineRule="auto"/>
      <w:ind w:left="0" w:right="444"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74921" w14:textId="77777777" w:rsidR="008C2A20" w:rsidRDefault="007F547B">
    <w:pPr>
      <w:spacing w:after="0" w:line="259" w:lineRule="auto"/>
      <w:ind w:left="0" w:right="444"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2DDE04" w14:textId="77777777" w:rsidR="00FF1BEC" w:rsidRDefault="00FF1BEC">
      <w:pPr>
        <w:spacing w:after="0" w:line="240" w:lineRule="auto"/>
      </w:pPr>
      <w:r>
        <w:separator/>
      </w:r>
    </w:p>
  </w:footnote>
  <w:footnote w:type="continuationSeparator" w:id="0">
    <w:p w14:paraId="4F575CFE" w14:textId="77777777" w:rsidR="00FF1BEC" w:rsidRDefault="00FF1B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A3C70"/>
    <w:multiLevelType w:val="hybridMultilevel"/>
    <w:tmpl w:val="9250ADA6"/>
    <w:lvl w:ilvl="0" w:tplc="34E6EB54">
      <w:start w:val="1"/>
      <w:numFmt w:val="bullet"/>
      <w:lvlText w:val="➔"/>
      <w:lvlJc w:val="left"/>
      <w:pPr>
        <w:ind w:left="70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9E187338">
      <w:start w:val="1"/>
      <w:numFmt w:val="bullet"/>
      <w:lvlText w:val="o"/>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8D8A4AFA">
      <w:start w:val="1"/>
      <w:numFmt w:val="bullet"/>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EA4E3D2C">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263AD46C">
      <w:start w:val="1"/>
      <w:numFmt w:val="bullet"/>
      <w:lvlText w:val="o"/>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EFE4B89E">
      <w:start w:val="1"/>
      <w:numFmt w:val="bullet"/>
      <w:lvlText w:val="▪"/>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0CDEF1D2">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C29A4082">
      <w:start w:val="1"/>
      <w:numFmt w:val="bullet"/>
      <w:lvlText w:val="o"/>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2BD03794">
      <w:start w:val="1"/>
      <w:numFmt w:val="bullet"/>
      <w:lvlText w:val="▪"/>
      <w:lvlJc w:val="left"/>
      <w:pPr>
        <w:ind w:left="64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021434"/>
    <w:multiLevelType w:val="hybridMultilevel"/>
    <w:tmpl w:val="7AC2CEE0"/>
    <w:lvl w:ilvl="0" w:tplc="1ACEA23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E4A04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A6CDF2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58B1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BE56A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6F2EE6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D5682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5C7F1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92A89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C15DDA"/>
    <w:multiLevelType w:val="hybridMultilevel"/>
    <w:tmpl w:val="65B8C286"/>
    <w:lvl w:ilvl="0" w:tplc="214A5FE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AC78C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30466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00A4D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32645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782F61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FC816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D654E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73017E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FDD2763"/>
    <w:multiLevelType w:val="hybridMultilevel"/>
    <w:tmpl w:val="9C02755C"/>
    <w:lvl w:ilvl="0" w:tplc="C0E48ABA">
      <w:start w:val="1"/>
      <w:numFmt w:val="bullet"/>
      <w:lvlText w:val="★"/>
      <w:lvlJc w:val="left"/>
      <w:pPr>
        <w:ind w:left="70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7B5E412A">
      <w:start w:val="1"/>
      <w:numFmt w:val="bullet"/>
      <w:lvlText w:val="o"/>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77C89D16">
      <w:start w:val="1"/>
      <w:numFmt w:val="bullet"/>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F1F267AA">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6E1EF40A">
      <w:start w:val="1"/>
      <w:numFmt w:val="bullet"/>
      <w:lvlText w:val="o"/>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A956D406">
      <w:start w:val="1"/>
      <w:numFmt w:val="bullet"/>
      <w:lvlText w:val="▪"/>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81AAC124">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F40405C8">
      <w:start w:val="1"/>
      <w:numFmt w:val="bullet"/>
      <w:lvlText w:val="o"/>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29F88EC8">
      <w:start w:val="1"/>
      <w:numFmt w:val="bullet"/>
      <w:lvlText w:val="▪"/>
      <w:lvlJc w:val="left"/>
      <w:pPr>
        <w:ind w:left="64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E45215"/>
    <w:multiLevelType w:val="hybridMultilevel"/>
    <w:tmpl w:val="592EB236"/>
    <w:lvl w:ilvl="0" w:tplc="44BAF1A8">
      <w:start w:val="1"/>
      <w:numFmt w:val="bullet"/>
      <w:lvlText w:val="●"/>
      <w:lvlJc w:val="left"/>
      <w:pPr>
        <w:ind w:left="5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264FC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702417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AE09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C4F5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4A6956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C467D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E6519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D094A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05F76D9"/>
    <w:multiLevelType w:val="hybridMultilevel"/>
    <w:tmpl w:val="50D69CF2"/>
    <w:lvl w:ilvl="0" w:tplc="81BC956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386B0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4687C0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EDCB8A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E8A2B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578A67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1F26F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46DD7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1B686B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68E13C3"/>
    <w:multiLevelType w:val="hybridMultilevel"/>
    <w:tmpl w:val="87AEA008"/>
    <w:lvl w:ilvl="0" w:tplc="FE50F60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9A028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C46DF3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7D83D1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C83E1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9802B4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D34EC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7A99D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BA86C6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B4C250C"/>
    <w:multiLevelType w:val="hybridMultilevel"/>
    <w:tmpl w:val="005E6DAE"/>
    <w:lvl w:ilvl="0" w:tplc="27789802">
      <w:start w:val="1"/>
      <w:numFmt w:val="decimal"/>
      <w:lvlText w:val="%1."/>
      <w:lvlJc w:val="left"/>
      <w:pPr>
        <w:ind w:left="7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76938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C6E28D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E6DE9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F248C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EC0D3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62E1D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00E0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C06D2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C6524B1"/>
    <w:multiLevelType w:val="hybridMultilevel"/>
    <w:tmpl w:val="B3A2CD40"/>
    <w:lvl w:ilvl="0" w:tplc="BD142D4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12E0C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34EA4C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2303B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443D0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ED2804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7824D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065A3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9920E0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97257F9"/>
    <w:multiLevelType w:val="hybridMultilevel"/>
    <w:tmpl w:val="73EE0F84"/>
    <w:lvl w:ilvl="0" w:tplc="B342834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BE555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430E74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5D634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46695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6F43CB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8E8981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E6D90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A0A414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B401E1C"/>
    <w:multiLevelType w:val="hybridMultilevel"/>
    <w:tmpl w:val="A3EC44A0"/>
    <w:lvl w:ilvl="0" w:tplc="289414DA">
      <w:start w:val="1"/>
      <w:numFmt w:val="bullet"/>
      <w:lvlText w:val="➢"/>
      <w:lvlJc w:val="left"/>
      <w:pPr>
        <w:ind w:left="70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52028918">
      <w:start w:val="1"/>
      <w:numFmt w:val="bullet"/>
      <w:lvlText w:val="o"/>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CE30AE74">
      <w:start w:val="1"/>
      <w:numFmt w:val="bullet"/>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30F47690">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FCE68AB4">
      <w:start w:val="1"/>
      <w:numFmt w:val="bullet"/>
      <w:lvlText w:val="o"/>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C4A8FAA0">
      <w:start w:val="1"/>
      <w:numFmt w:val="bullet"/>
      <w:lvlText w:val="▪"/>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86C48CA2">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C86A2D0A">
      <w:start w:val="1"/>
      <w:numFmt w:val="bullet"/>
      <w:lvlText w:val="o"/>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36E441B6">
      <w:start w:val="1"/>
      <w:numFmt w:val="bullet"/>
      <w:lvlText w:val="▪"/>
      <w:lvlJc w:val="left"/>
      <w:pPr>
        <w:ind w:left="64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26F34B2"/>
    <w:multiLevelType w:val="hybridMultilevel"/>
    <w:tmpl w:val="BDB4117A"/>
    <w:lvl w:ilvl="0" w:tplc="B14422C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EAE8D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D5813F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1C6821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294415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426136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3F8EC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46270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72259E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4103DFC"/>
    <w:multiLevelType w:val="hybridMultilevel"/>
    <w:tmpl w:val="6ABE66BE"/>
    <w:lvl w:ilvl="0" w:tplc="F254060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B6A10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74682A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034A15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EC42D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94258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A3F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CF881A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1FA7A3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ABD5BA2"/>
    <w:multiLevelType w:val="hybridMultilevel"/>
    <w:tmpl w:val="5198C6C0"/>
    <w:lvl w:ilvl="0" w:tplc="4B044C0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42A4D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582E1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D84395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9E1E0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34CBE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00822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8C1A9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7C4513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AE07F19"/>
    <w:multiLevelType w:val="hybridMultilevel"/>
    <w:tmpl w:val="523640BC"/>
    <w:lvl w:ilvl="0" w:tplc="C1F0A4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B6856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39C375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2CAA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0A44E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654BEC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88AF33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D2C76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626166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B8839E5"/>
    <w:multiLevelType w:val="hybridMultilevel"/>
    <w:tmpl w:val="A2566286"/>
    <w:lvl w:ilvl="0" w:tplc="14C05484">
      <w:start w:val="1"/>
      <w:numFmt w:val="bullet"/>
      <w:lvlText w:val="✔"/>
      <w:lvlJc w:val="left"/>
      <w:pPr>
        <w:ind w:left="70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D194D29C">
      <w:start w:val="1"/>
      <w:numFmt w:val="bullet"/>
      <w:lvlText w:val="o"/>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3064F63E">
      <w:start w:val="1"/>
      <w:numFmt w:val="bullet"/>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33B6441E">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BC7A2206">
      <w:start w:val="1"/>
      <w:numFmt w:val="bullet"/>
      <w:lvlText w:val="o"/>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8A041E50">
      <w:start w:val="1"/>
      <w:numFmt w:val="bullet"/>
      <w:lvlText w:val="▪"/>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354E4DFE">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92A2F66A">
      <w:start w:val="1"/>
      <w:numFmt w:val="bullet"/>
      <w:lvlText w:val="o"/>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DA34C0B2">
      <w:start w:val="1"/>
      <w:numFmt w:val="bullet"/>
      <w:lvlText w:val="▪"/>
      <w:lvlJc w:val="left"/>
      <w:pPr>
        <w:ind w:left="64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D320A13"/>
    <w:multiLevelType w:val="hybridMultilevel"/>
    <w:tmpl w:val="53CC4824"/>
    <w:lvl w:ilvl="0" w:tplc="00F4EAA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028A3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24DDC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0A5E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24FD7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D74BD2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D461B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406FB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AAA4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FE64CA2"/>
    <w:multiLevelType w:val="hybridMultilevel"/>
    <w:tmpl w:val="2C02966A"/>
    <w:lvl w:ilvl="0" w:tplc="CBA0504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D0360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8BEB1F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DF1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00694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884C7D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B4ADD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861AE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A869DB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A8A786B"/>
    <w:multiLevelType w:val="hybridMultilevel"/>
    <w:tmpl w:val="D4B0E6A2"/>
    <w:lvl w:ilvl="0" w:tplc="6DB0675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9A161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18821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CC8516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9C38B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4826D5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16ECDD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96A779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F60FE3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AC964E9"/>
    <w:multiLevelType w:val="hybridMultilevel"/>
    <w:tmpl w:val="0A62CAD6"/>
    <w:lvl w:ilvl="0" w:tplc="01AA490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ECA4B6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B6C34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D28DC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D4330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40C823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1EE7EC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88380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77C635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D1F0ABE"/>
    <w:multiLevelType w:val="hybridMultilevel"/>
    <w:tmpl w:val="A738B1F0"/>
    <w:lvl w:ilvl="0" w:tplc="C0FC3FF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74113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087C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7CCD09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8F0922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5B065F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6EFFD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27C18F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606E13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FF568E9"/>
    <w:multiLevelType w:val="hybridMultilevel"/>
    <w:tmpl w:val="E0EEACAE"/>
    <w:lvl w:ilvl="0" w:tplc="3FC60CB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C23A2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6DE378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E0494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28B37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E526DF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3B602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D839A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D4EADB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730472C"/>
    <w:multiLevelType w:val="hybridMultilevel"/>
    <w:tmpl w:val="46E05E08"/>
    <w:lvl w:ilvl="0" w:tplc="F260EB5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E1ACAF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01C149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3863E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80FEF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6A0F4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945AF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7D0021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08638D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893017C"/>
    <w:multiLevelType w:val="hybridMultilevel"/>
    <w:tmpl w:val="61240A24"/>
    <w:lvl w:ilvl="0" w:tplc="61A8C45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CA554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B438D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62A8D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C2C8B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F6861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9DC11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B8955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C2128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EB0066D"/>
    <w:multiLevelType w:val="hybridMultilevel"/>
    <w:tmpl w:val="534CF66C"/>
    <w:lvl w:ilvl="0" w:tplc="10304DE0">
      <w:start w:val="1"/>
      <w:numFmt w:val="bullet"/>
      <w:lvlText w:val="★"/>
      <w:lvlJc w:val="left"/>
      <w:pPr>
        <w:ind w:left="705"/>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1FF6AA68">
      <w:start w:val="1"/>
      <w:numFmt w:val="bullet"/>
      <w:lvlText w:val="o"/>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FFC867E2">
      <w:start w:val="1"/>
      <w:numFmt w:val="bullet"/>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AB4E83A2">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4FD2B8BE">
      <w:start w:val="1"/>
      <w:numFmt w:val="bullet"/>
      <w:lvlText w:val="o"/>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EE5AA0A0">
      <w:start w:val="1"/>
      <w:numFmt w:val="bullet"/>
      <w:lvlText w:val="▪"/>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A3EE5412">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8E3AD546">
      <w:start w:val="1"/>
      <w:numFmt w:val="bullet"/>
      <w:lvlText w:val="o"/>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A0B018AC">
      <w:start w:val="1"/>
      <w:numFmt w:val="bullet"/>
      <w:lvlText w:val="▪"/>
      <w:lvlJc w:val="left"/>
      <w:pPr>
        <w:ind w:left="64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num w:numId="1" w16cid:durableId="1239174883">
    <w:abstractNumId w:val="0"/>
  </w:num>
  <w:num w:numId="2" w16cid:durableId="627246489">
    <w:abstractNumId w:val="16"/>
  </w:num>
  <w:num w:numId="3" w16cid:durableId="608709201">
    <w:abstractNumId w:val="9"/>
  </w:num>
  <w:num w:numId="4" w16cid:durableId="399406868">
    <w:abstractNumId w:val="1"/>
  </w:num>
  <w:num w:numId="5" w16cid:durableId="1761835095">
    <w:abstractNumId w:val="21"/>
  </w:num>
  <w:num w:numId="6" w16cid:durableId="1184854658">
    <w:abstractNumId w:val="15"/>
  </w:num>
  <w:num w:numId="7" w16cid:durableId="1824617838">
    <w:abstractNumId w:val="20"/>
  </w:num>
  <w:num w:numId="8" w16cid:durableId="1390496162">
    <w:abstractNumId w:val="10"/>
  </w:num>
  <w:num w:numId="9" w16cid:durableId="1872180189">
    <w:abstractNumId w:val="7"/>
  </w:num>
  <w:num w:numId="10" w16cid:durableId="1764110191">
    <w:abstractNumId w:val="22"/>
  </w:num>
  <w:num w:numId="11" w16cid:durableId="1545218823">
    <w:abstractNumId w:val="14"/>
  </w:num>
  <w:num w:numId="12" w16cid:durableId="627010592">
    <w:abstractNumId w:val="18"/>
  </w:num>
  <w:num w:numId="13" w16cid:durableId="2098747561">
    <w:abstractNumId w:val="6"/>
  </w:num>
  <w:num w:numId="14" w16cid:durableId="650253970">
    <w:abstractNumId w:val="23"/>
  </w:num>
  <w:num w:numId="15" w16cid:durableId="1368529942">
    <w:abstractNumId w:val="11"/>
  </w:num>
  <w:num w:numId="16" w16cid:durableId="132449589">
    <w:abstractNumId w:val="4"/>
  </w:num>
  <w:num w:numId="17" w16cid:durableId="1692802699">
    <w:abstractNumId w:val="5"/>
  </w:num>
  <w:num w:numId="18" w16cid:durableId="1616907998">
    <w:abstractNumId w:val="8"/>
  </w:num>
  <w:num w:numId="19" w16cid:durableId="1791319103">
    <w:abstractNumId w:val="17"/>
  </w:num>
  <w:num w:numId="20" w16cid:durableId="226890356">
    <w:abstractNumId w:val="2"/>
  </w:num>
  <w:num w:numId="21" w16cid:durableId="1495416742">
    <w:abstractNumId w:val="19"/>
  </w:num>
  <w:num w:numId="22" w16cid:durableId="711154000">
    <w:abstractNumId w:val="12"/>
  </w:num>
  <w:num w:numId="23" w16cid:durableId="545217619">
    <w:abstractNumId w:val="24"/>
  </w:num>
  <w:num w:numId="24" w16cid:durableId="929120190">
    <w:abstractNumId w:val="3"/>
  </w:num>
  <w:num w:numId="25" w16cid:durableId="20686505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A20"/>
    <w:rsid w:val="00211E85"/>
    <w:rsid w:val="0022745D"/>
    <w:rsid w:val="00470233"/>
    <w:rsid w:val="007F547B"/>
    <w:rsid w:val="008C2A20"/>
    <w:rsid w:val="009C6F61"/>
    <w:rsid w:val="00FF1B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F1369"/>
  <w15:docId w15:val="{EA7DEBC8-048F-4C32-B872-236C3E5F1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0" w:line="271" w:lineRule="auto"/>
      <w:ind w:left="10" w:right="446" w:hanging="10"/>
      <w:jc w:val="both"/>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48" w:line="259" w:lineRule="auto"/>
      <w:ind w:left="10" w:hanging="10"/>
      <w:outlineLvl w:val="0"/>
    </w:pPr>
    <w:rPr>
      <w:rFonts w:ascii="Calibri" w:eastAsia="Calibri" w:hAnsi="Calibri" w:cs="Calibri"/>
      <w:b/>
      <w:color w:val="365F91"/>
      <w:sz w:val="34"/>
    </w:rPr>
  </w:style>
  <w:style w:type="paragraph" w:styleId="Heading2">
    <w:name w:val="heading 2"/>
    <w:next w:val="Normal"/>
    <w:link w:val="Heading2Char"/>
    <w:uiPriority w:val="9"/>
    <w:unhideWhenUsed/>
    <w:qFormat/>
    <w:pPr>
      <w:keepNext/>
      <w:keepLines/>
      <w:spacing w:after="206" w:line="259" w:lineRule="auto"/>
      <w:ind w:left="10" w:hanging="10"/>
      <w:outlineLvl w:val="1"/>
    </w:pPr>
    <w:rPr>
      <w:rFonts w:ascii="Calibri" w:eastAsia="Calibri" w:hAnsi="Calibri" w:cs="Calibri"/>
      <w:b/>
      <w:color w:val="365F91"/>
      <w:sz w:val="28"/>
    </w:rPr>
  </w:style>
  <w:style w:type="paragraph" w:styleId="Heading3">
    <w:name w:val="heading 3"/>
    <w:next w:val="Normal"/>
    <w:link w:val="Heading3Char"/>
    <w:uiPriority w:val="9"/>
    <w:unhideWhenUsed/>
    <w:qFormat/>
    <w:pPr>
      <w:keepNext/>
      <w:keepLines/>
      <w:spacing w:after="206" w:line="259" w:lineRule="auto"/>
      <w:ind w:left="10" w:hanging="10"/>
      <w:outlineLvl w:val="2"/>
    </w:pPr>
    <w:rPr>
      <w:rFonts w:ascii="Calibri" w:eastAsia="Calibri" w:hAnsi="Calibri" w:cs="Calibri"/>
      <w:b/>
      <w:color w:val="365F91"/>
      <w:sz w:val="28"/>
    </w:rPr>
  </w:style>
  <w:style w:type="paragraph" w:styleId="Heading4">
    <w:name w:val="heading 4"/>
    <w:next w:val="Normal"/>
    <w:link w:val="Heading4Char"/>
    <w:uiPriority w:val="9"/>
    <w:unhideWhenUsed/>
    <w:qFormat/>
    <w:pPr>
      <w:keepNext/>
      <w:keepLines/>
      <w:spacing w:after="241" w:line="259" w:lineRule="auto"/>
      <w:ind w:left="10" w:hanging="10"/>
      <w:outlineLvl w:val="3"/>
    </w:pPr>
    <w:rPr>
      <w:rFonts w:ascii="Calibri" w:eastAsia="Calibri" w:hAnsi="Calibri" w:cs="Calibri"/>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4"/>
      <w:u w:val="single" w:color="000000"/>
    </w:rPr>
  </w:style>
  <w:style w:type="character" w:customStyle="1" w:styleId="Heading3Char">
    <w:name w:val="Heading 3 Char"/>
    <w:link w:val="Heading3"/>
    <w:rPr>
      <w:rFonts w:ascii="Calibri" w:eastAsia="Calibri" w:hAnsi="Calibri" w:cs="Calibri"/>
      <w:b/>
      <w:color w:val="365F91"/>
      <w:sz w:val="28"/>
    </w:rPr>
  </w:style>
  <w:style w:type="character" w:customStyle="1" w:styleId="Heading1Char">
    <w:name w:val="Heading 1 Char"/>
    <w:link w:val="Heading1"/>
    <w:rPr>
      <w:rFonts w:ascii="Calibri" w:eastAsia="Calibri" w:hAnsi="Calibri" w:cs="Calibri"/>
      <w:b/>
      <w:color w:val="365F91"/>
      <w:sz w:val="34"/>
    </w:rPr>
  </w:style>
  <w:style w:type="character" w:customStyle="1" w:styleId="Heading2Char">
    <w:name w:val="Heading 2 Char"/>
    <w:link w:val="Heading2"/>
    <w:rPr>
      <w:rFonts w:ascii="Calibri" w:eastAsia="Calibri" w:hAnsi="Calibri" w:cs="Calibri"/>
      <w:b/>
      <w:color w:val="365F91"/>
      <w:sz w:val="28"/>
    </w:rPr>
  </w:style>
  <w:style w:type="paragraph" w:styleId="TOC1">
    <w:name w:val="toc 1"/>
    <w:hidden/>
    <w:pPr>
      <w:spacing w:after="81" w:line="259" w:lineRule="auto"/>
      <w:ind w:left="25" w:right="444" w:hanging="10"/>
    </w:pPr>
    <w:rPr>
      <w:rFonts w:ascii="Calibri" w:eastAsia="Calibri" w:hAnsi="Calibri" w:cs="Calibri"/>
      <w:b/>
      <w:color w:val="000000"/>
    </w:rPr>
  </w:style>
  <w:style w:type="paragraph" w:styleId="TOC2">
    <w:name w:val="toc 2"/>
    <w:hidden/>
    <w:pPr>
      <w:spacing w:after="81" w:line="259" w:lineRule="auto"/>
      <w:ind w:left="385" w:right="444"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27</Pages>
  <Words>5183</Words>
  <Characters>29546</Characters>
  <Application>Microsoft Office Word</Application>
  <DocSecurity>0</DocSecurity>
  <Lines>246</Lines>
  <Paragraphs>69</Paragraphs>
  <ScaleCrop>false</ScaleCrop>
  <Company/>
  <LinksUpToDate>false</LinksUpToDate>
  <CharactersWithSpaces>34660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Inteligence Report</dc:title>
  <dc:subject/>
  <dc:creator>Ilham Oussanna</dc:creator>
  <cp:keywords/>
  <cp:lastModifiedBy>Ilham Oussanna</cp:lastModifiedBy>
  <cp:revision>5</cp:revision>
  <dcterms:created xsi:type="dcterms:W3CDTF">2025-05-08T09:31:00Z</dcterms:created>
  <dcterms:modified xsi:type="dcterms:W3CDTF">2025-05-08T09:51:00Z</dcterms:modified>
</cp:coreProperties>
</file>