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9A88" w14:textId="77777777" w:rsidR="00846524" w:rsidRDefault="00FA360A">
      <w:pPr>
        <w:pBdr>
          <w:bottom w:val="single" w:sz="12" w:space="6" w:color="2E8B7A"/>
        </w:pBdr>
        <w:spacing w:before="480" w:after="80"/>
        <w:jc w:val="center"/>
      </w:pPr>
      <w:r>
        <w:rPr>
          <w:b/>
          <w:bCs/>
          <w:color w:val="2E8B7A"/>
          <w:sz w:val="52"/>
          <w:szCs w:val="52"/>
        </w:rPr>
        <w:t>Irish Healthcare Waiting List Analysis</w:t>
      </w:r>
    </w:p>
    <w:p w14:paraId="236F53E9" w14:textId="77777777" w:rsidR="00846524" w:rsidRDefault="00FA360A">
      <w:pPr>
        <w:spacing w:before="120" w:after="80"/>
        <w:jc w:val="center"/>
      </w:pPr>
      <w:r>
        <w:rPr>
          <w:i/>
          <w:iCs/>
          <w:color w:val="555555"/>
          <w:sz w:val="26"/>
          <w:szCs w:val="26"/>
        </w:rPr>
        <w:t>A Data-Driven Assessment of Outpatient Waiting Lists 2023–2025</w:t>
      </w:r>
    </w:p>
    <w:p w14:paraId="00F2D8E8" w14:textId="77777777" w:rsidR="00846524" w:rsidRDefault="00FA360A">
      <w:pPr>
        <w:spacing w:before="60" w:after="60"/>
        <w:jc w:val="center"/>
      </w:pPr>
      <w:r>
        <w:rPr>
          <w:color w:val="555555"/>
          <w:sz w:val="20"/>
          <w:szCs w:val="20"/>
        </w:rPr>
        <w:t>Data Source: National Treatment Purchase Fund (NTPF) Open Data</w:t>
      </w:r>
    </w:p>
    <w:p w14:paraId="7F77E5CA" w14:textId="77777777" w:rsidR="00846524" w:rsidRDefault="00FA360A">
      <w:pPr>
        <w:spacing w:before="40" w:after="40"/>
        <w:jc w:val="center"/>
      </w:pPr>
      <w:r>
        <w:rPr>
          <w:color w:val="555555"/>
          <w:sz w:val="20"/>
          <w:szCs w:val="20"/>
        </w:rPr>
        <w:t>Tools Used: PostgreSQL · Power Query · Microsoft Power BI</w:t>
      </w:r>
    </w:p>
    <w:p w14:paraId="35B7685A" w14:textId="606CD6F6" w:rsidR="00846524" w:rsidRDefault="00FA360A">
      <w:pPr>
        <w:spacing w:before="40" w:after="400"/>
        <w:jc w:val="center"/>
        <w:rPr>
          <w:color w:val="555555"/>
          <w:sz w:val="20"/>
          <w:szCs w:val="20"/>
        </w:rPr>
      </w:pPr>
      <w:r>
        <w:rPr>
          <w:color w:val="555555"/>
          <w:sz w:val="20"/>
          <w:szCs w:val="20"/>
        </w:rPr>
        <w:t xml:space="preserve">Prepared by: Ilham </w:t>
      </w:r>
    </w:p>
    <w:p w14:paraId="2059B9A9" w14:textId="77777777" w:rsidR="002B32FF" w:rsidRDefault="002B32FF">
      <w:pPr>
        <w:spacing w:before="40" w:after="400"/>
        <w:jc w:val="center"/>
      </w:pPr>
    </w:p>
    <w:p w14:paraId="582B0E59" w14:textId="77777777" w:rsidR="00846524" w:rsidRDefault="00FA360A">
      <w:pPr>
        <w:pStyle w:val="Heading1"/>
        <w:pBdr>
          <w:bottom w:val="single" w:sz="6" w:space="4" w:color="2E8B7A"/>
        </w:pBdr>
      </w:pPr>
      <w:r>
        <w:t>1. Executive Summary</w:t>
      </w:r>
    </w:p>
    <w:p w14:paraId="06D25B61" w14:textId="77777777" w:rsidR="00846524" w:rsidRDefault="00FA360A">
      <w:pPr>
        <w:spacing w:before="80" w:after="120" w:line="320" w:lineRule="auto"/>
        <w:jc w:val="both"/>
      </w:pPr>
      <w:r>
        <w:rPr>
          <w:color w:val="555555"/>
        </w:rPr>
        <w:t>This report analyses three years of outpatient waiting list data published by the National Treatment Purchase Fund (NTPF) for Irish public hospitals. The dataset covers 36 monthly snapshots from January 2023 to December 2025, comprising over 2,920 records across 61 to 64 medical specialties and two patient groups: adults and children.</w:t>
      </w:r>
    </w:p>
    <w:p w14:paraId="4F08530E" w14:textId="77777777" w:rsidR="00846524" w:rsidRDefault="00FA360A">
      <w:pPr>
        <w:spacing w:before="80" w:after="120" w:line="320" w:lineRule="auto"/>
        <w:jc w:val="both"/>
      </w:pPr>
      <w:r>
        <w:rPr>
          <w:color w:val="555555"/>
        </w:rPr>
        <w:t>The analysis was conducted using PostgreSQL for data querying and Microsoft Power BI for visual reporting. The central question driving this project is: Is Ireland making real progress on its hospital waiting list crisis, and who is being left behind?</w:t>
      </w:r>
    </w:p>
    <w:p w14:paraId="0D67307B" w14:textId="77777777" w:rsidR="00846524" w:rsidRDefault="00846524">
      <w:pPr>
        <w:spacing w:before="16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2960"/>
        <w:gridCol w:w="2960"/>
      </w:tblGrid>
      <w:tr w:rsidR="00846524" w14:paraId="730B8EE9" w14:textId="77777777">
        <w:tc>
          <w:tcPr>
            <w:tcW w:w="2960" w:type="dxa"/>
            <w:tcBorders>
              <w:top w:val="single" w:sz="1" w:space="0" w:color="CCCCCC"/>
              <w:left w:val="single" w:sz="1" w:space="0" w:color="CCCCCC"/>
              <w:bottom w:val="single" w:sz="1" w:space="0" w:color="CCCCCC"/>
              <w:right w:val="single" w:sz="1" w:space="0" w:color="CCCCCC"/>
            </w:tcBorders>
            <w:shd w:val="clear" w:color="auto" w:fill="E8F5F2"/>
            <w:tcMar>
              <w:top w:w="160" w:type="dxa"/>
              <w:left w:w="200" w:type="dxa"/>
              <w:bottom w:w="160" w:type="dxa"/>
              <w:right w:w="200" w:type="dxa"/>
            </w:tcMar>
          </w:tcPr>
          <w:p w14:paraId="4ABBA3D8" w14:textId="77777777" w:rsidR="00846524" w:rsidRDefault="00FA360A">
            <w:pPr>
              <w:spacing w:after="40"/>
              <w:jc w:val="center"/>
            </w:pPr>
            <w:r>
              <w:rPr>
                <w:b/>
                <w:bCs/>
                <w:color w:val="2E8B7A"/>
                <w:sz w:val="40"/>
                <w:szCs w:val="40"/>
              </w:rPr>
              <w:t>21M</w:t>
            </w:r>
          </w:p>
          <w:p w14:paraId="1B89620C" w14:textId="77777777" w:rsidR="00846524" w:rsidRDefault="00FA360A">
            <w:pPr>
              <w:jc w:val="center"/>
            </w:pPr>
            <w:r>
              <w:rPr>
                <w:color w:val="555555"/>
                <w:sz w:val="18"/>
                <w:szCs w:val="18"/>
              </w:rPr>
              <w:t>Total Patient Records 2023–2025</w:t>
            </w:r>
          </w:p>
        </w:tc>
        <w:tc>
          <w:tcPr>
            <w:tcW w:w="2960" w:type="dxa"/>
            <w:tcBorders>
              <w:top w:val="single" w:sz="1" w:space="0" w:color="CCCCCC"/>
              <w:left w:val="single" w:sz="1" w:space="0" w:color="CCCCCC"/>
              <w:bottom w:val="single" w:sz="1" w:space="0" w:color="CCCCCC"/>
              <w:right w:val="single" w:sz="1" w:space="0" w:color="CCCCCC"/>
            </w:tcBorders>
            <w:shd w:val="clear" w:color="auto" w:fill="E8F5F2"/>
            <w:tcMar>
              <w:top w:w="160" w:type="dxa"/>
              <w:left w:w="200" w:type="dxa"/>
              <w:bottom w:w="160" w:type="dxa"/>
              <w:right w:w="200" w:type="dxa"/>
            </w:tcMar>
          </w:tcPr>
          <w:p w14:paraId="00833244" w14:textId="77777777" w:rsidR="00846524" w:rsidRDefault="00FA360A">
            <w:pPr>
              <w:spacing w:after="40"/>
              <w:jc w:val="center"/>
            </w:pPr>
            <w:r>
              <w:rPr>
                <w:b/>
                <w:bCs/>
                <w:color w:val="2E8B7A"/>
                <w:sz w:val="40"/>
                <w:szCs w:val="40"/>
              </w:rPr>
              <w:t>51K</w:t>
            </w:r>
          </w:p>
          <w:p w14:paraId="442C0E41" w14:textId="77777777" w:rsidR="00846524" w:rsidRDefault="00FA360A">
            <w:pPr>
              <w:jc w:val="center"/>
            </w:pPr>
            <w:r>
              <w:rPr>
                <w:color w:val="555555"/>
                <w:sz w:val="18"/>
                <w:szCs w:val="18"/>
              </w:rPr>
              <w:t>Reduction in 18+ Month Waiters</w:t>
            </w:r>
          </w:p>
        </w:tc>
        <w:tc>
          <w:tcPr>
            <w:tcW w:w="2960" w:type="dxa"/>
            <w:tcBorders>
              <w:top w:val="single" w:sz="1" w:space="0" w:color="CCCCCC"/>
              <w:left w:val="single" w:sz="1" w:space="0" w:color="CCCCCC"/>
              <w:bottom w:val="single" w:sz="1" w:space="0" w:color="CCCCCC"/>
              <w:right w:val="single" w:sz="1" w:space="0" w:color="CCCCCC"/>
            </w:tcBorders>
            <w:shd w:val="clear" w:color="auto" w:fill="E8F5F2"/>
            <w:tcMar>
              <w:top w:w="160" w:type="dxa"/>
              <w:left w:w="200" w:type="dxa"/>
              <w:bottom w:w="160" w:type="dxa"/>
              <w:right w:w="200" w:type="dxa"/>
            </w:tcMar>
          </w:tcPr>
          <w:p w14:paraId="692BAC41" w14:textId="77777777" w:rsidR="00846524" w:rsidRDefault="00FA360A">
            <w:pPr>
              <w:spacing w:after="40"/>
              <w:jc w:val="center"/>
            </w:pPr>
            <w:r>
              <w:rPr>
                <w:b/>
                <w:bCs/>
                <w:color w:val="2E8B7A"/>
                <w:sz w:val="40"/>
                <w:szCs w:val="40"/>
              </w:rPr>
              <w:t>17.36%</w:t>
            </w:r>
          </w:p>
          <w:p w14:paraId="4B7C1A58" w14:textId="77777777" w:rsidR="00846524" w:rsidRDefault="00FA360A">
            <w:pPr>
              <w:jc w:val="center"/>
            </w:pPr>
            <w:proofErr w:type="spellStart"/>
            <w:r>
              <w:rPr>
                <w:color w:val="555555"/>
                <w:sz w:val="18"/>
                <w:szCs w:val="18"/>
              </w:rPr>
              <w:t>Avg</w:t>
            </w:r>
            <w:proofErr w:type="spellEnd"/>
            <w:r>
              <w:rPr>
                <w:color w:val="555555"/>
                <w:sz w:val="18"/>
                <w:szCs w:val="18"/>
              </w:rPr>
              <w:t xml:space="preserve"> % Waiting Over 12 Months</w:t>
            </w:r>
          </w:p>
        </w:tc>
      </w:tr>
    </w:tbl>
    <w:p w14:paraId="1D7684E5" w14:textId="77777777" w:rsidR="00846524" w:rsidRDefault="00846524">
      <w:pPr>
        <w:spacing w:before="200"/>
      </w:pPr>
    </w:p>
    <w:p w14:paraId="66D50F98" w14:textId="77777777" w:rsidR="00846524" w:rsidRDefault="00FA360A">
      <w:pPr>
        <w:spacing w:before="80" w:after="120" w:line="320" w:lineRule="auto"/>
        <w:jc w:val="both"/>
      </w:pPr>
      <w:r>
        <w:rPr>
          <w:color w:val="555555"/>
        </w:rPr>
        <w:t>The findings show a clear improvement in the proportion of patients facing very long waits, particularly between 2023 and 2024. However, overall demand on the system is growing, progress stalled in 2025, and children are now proportionally worse off than adults for long waits. These mixed results suggest that while NTPF interventions have had a measurable impact, deeper structural challenges remain.</w:t>
      </w:r>
    </w:p>
    <w:p w14:paraId="16C42239" w14:textId="77777777" w:rsidR="00846524" w:rsidRDefault="00846524">
      <w:pPr>
        <w:spacing w:before="160"/>
      </w:pPr>
    </w:p>
    <w:p w14:paraId="7D619CAD" w14:textId="77777777" w:rsidR="00846524" w:rsidRDefault="00FA360A">
      <w:pPr>
        <w:pStyle w:val="Heading1"/>
        <w:pBdr>
          <w:bottom w:val="single" w:sz="6" w:space="4" w:color="2E8B7A"/>
        </w:pBdr>
      </w:pPr>
      <w:r>
        <w:t>2. Background and Context</w:t>
      </w:r>
    </w:p>
    <w:p w14:paraId="24C48CFD" w14:textId="77777777" w:rsidR="00846524" w:rsidRDefault="00FA360A">
      <w:pPr>
        <w:spacing w:before="80" w:after="120" w:line="320" w:lineRule="auto"/>
        <w:jc w:val="both"/>
      </w:pPr>
      <w:r>
        <w:rPr>
          <w:color w:val="555555"/>
        </w:rPr>
        <w:t xml:space="preserve">Ireland's hospital waiting list crisis has been a central issue in public health policy for over a decade. The National Treatment Purchase Fund (NTPF) is an independent public body responsible for publishing monthly waiting list data for all public hospitals in Ireland. Its data </w:t>
      </w:r>
      <w:r>
        <w:rPr>
          <w:color w:val="555555"/>
        </w:rPr>
        <w:lastRenderedPageBreak/>
        <w:t>covers outpatient appointments (OP), inpatient and day case procedures (IPDC), and gastrointestinal endoscopy (GI Endoscopy).</w:t>
      </w:r>
    </w:p>
    <w:p w14:paraId="23618E5E" w14:textId="2BDE17A6" w:rsidR="00846524" w:rsidRDefault="00FA360A">
      <w:pPr>
        <w:spacing w:before="80" w:after="120" w:line="320" w:lineRule="auto"/>
        <w:jc w:val="both"/>
      </w:pPr>
      <w:r>
        <w:rPr>
          <w:color w:val="555555"/>
        </w:rPr>
        <w:t xml:space="preserve">This analysis focuses on outpatient waiting lists, which represent the largest category of waiting patients and the first point of contact between a patient and a hospital specialist. Patients are recorded in </w:t>
      </w:r>
      <w:r w:rsidR="002B32FF">
        <w:rPr>
          <w:color w:val="555555"/>
        </w:rPr>
        <w:t>four-time</w:t>
      </w:r>
      <w:r>
        <w:rPr>
          <w:color w:val="555555"/>
        </w:rPr>
        <w:t xml:space="preserve"> bands: 0–6 months, 6–12 months, 12–18 months, and 18 months or more.</w:t>
      </w:r>
    </w:p>
    <w:p w14:paraId="709F786C" w14:textId="77777777" w:rsidR="00846524" w:rsidRDefault="00FA360A">
      <w:pPr>
        <w:spacing w:before="80" w:after="120" w:line="320" w:lineRule="auto"/>
        <w:jc w:val="both"/>
      </w:pPr>
      <w:r>
        <w:rPr>
          <w:color w:val="555555"/>
        </w:rPr>
        <w:t>The Sláintecare reform programme, introduced in 2017, set maximum waiting time targets of 10 weeks for outpatient appointments and 12 weeks for inpatient and day case procedures. The Waiting List Action Plan (WLAP), launched in September 2021 and renewed annually, coordinates government efforts to reduce backlogs through outsourcing to private hospitals, insourcing initiatives, and additional funding.</w:t>
      </w:r>
    </w:p>
    <w:p w14:paraId="30DBC3FE" w14:textId="77777777" w:rsidR="00846524" w:rsidRDefault="00846524">
      <w:pPr>
        <w:spacing w:before="160"/>
      </w:pPr>
    </w:p>
    <w:p w14:paraId="79FAAB61" w14:textId="77777777" w:rsidR="00846524" w:rsidRDefault="00FA360A">
      <w:pPr>
        <w:pStyle w:val="Heading1"/>
        <w:pBdr>
          <w:bottom w:val="single" w:sz="6" w:space="4" w:color="2E8B7A"/>
        </w:pBdr>
      </w:pPr>
      <w:r>
        <w:t>3. Data and Methodology</w:t>
      </w:r>
    </w:p>
    <w:p w14:paraId="208DACB7" w14:textId="77777777" w:rsidR="00846524" w:rsidRDefault="00FA360A">
      <w:pPr>
        <w:pStyle w:val="Heading2"/>
      </w:pPr>
      <w:r>
        <w:t>3.1 Data Source</w:t>
      </w:r>
    </w:p>
    <w:p w14:paraId="7627A159" w14:textId="77777777" w:rsidR="00846524" w:rsidRDefault="00FA360A">
      <w:pPr>
        <w:spacing w:before="80" w:after="120" w:line="320" w:lineRule="auto"/>
        <w:jc w:val="both"/>
      </w:pPr>
      <w:r>
        <w:rPr>
          <w:color w:val="555555"/>
        </w:rPr>
        <w:t>All data used in this report was sourced from the NTPF Open Data portal (ntpf.ie/waiting-list-data/open-data). Three annual files were downloaded covering outpatient waiting lists by specialty for 2023, 2024 and 2025.</w:t>
      </w:r>
    </w:p>
    <w:p w14:paraId="6965CE5D" w14:textId="77777777" w:rsidR="00846524" w:rsidRDefault="008465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782"/>
        <w:gridCol w:w="1585"/>
        <w:gridCol w:w="1624"/>
        <w:gridCol w:w="1699"/>
      </w:tblGrid>
      <w:tr w:rsidR="00846524" w14:paraId="59AE4712"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01AAA985" w14:textId="77777777" w:rsidR="00846524" w:rsidRDefault="00FA360A">
            <w:pPr>
              <w:jc w:val="center"/>
            </w:pPr>
            <w:r>
              <w:rPr>
                <w:b/>
                <w:bCs/>
                <w:color w:val="FFFFFF"/>
                <w:sz w:val="18"/>
                <w:szCs w:val="18"/>
              </w:rPr>
              <w:t>Year</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0B35FDBB" w14:textId="77777777" w:rsidR="00846524" w:rsidRDefault="00FA360A">
            <w:pPr>
              <w:jc w:val="center"/>
            </w:pPr>
            <w:r>
              <w:rPr>
                <w:b/>
                <w:bCs/>
                <w:color w:val="FFFFFF"/>
                <w:sz w:val="18"/>
                <w:szCs w:val="18"/>
              </w:rPr>
              <w:t>File</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31539B12" w14:textId="77777777" w:rsidR="00846524" w:rsidRDefault="00FA360A">
            <w:pPr>
              <w:jc w:val="center"/>
            </w:pPr>
            <w:r>
              <w:rPr>
                <w:b/>
                <w:bCs/>
                <w:color w:val="FFFFFF"/>
                <w:sz w:val="18"/>
                <w:szCs w:val="18"/>
              </w:rPr>
              <w:t>Rows</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6F70CB7B" w14:textId="77777777" w:rsidR="00846524" w:rsidRDefault="00FA360A">
            <w:pPr>
              <w:jc w:val="center"/>
            </w:pPr>
            <w:r>
              <w:rPr>
                <w:b/>
                <w:bCs/>
                <w:color w:val="FFFFFF"/>
                <w:sz w:val="18"/>
                <w:szCs w:val="18"/>
              </w:rPr>
              <w:t>Months</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553B295A" w14:textId="77777777" w:rsidR="00846524" w:rsidRDefault="00FA360A">
            <w:pPr>
              <w:jc w:val="center"/>
            </w:pPr>
            <w:r>
              <w:rPr>
                <w:b/>
                <w:bCs/>
                <w:color w:val="FFFFFF"/>
                <w:sz w:val="18"/>
                <w:szCs w:val="18"/>
              </w:rPr>
              <w:t>Specialties</w:t>
            </w:r>
          </w:p>
        </w:tc>
      </w:tr>
      <w:tr w:rsidR="00846524" w14:paraId="22DEC06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7487" w14:textId="77777777" w:rsidR="00846524" w:rsidRDefault="00FA360A">
            <w:pPr>
              <w:jc w:val="center"/>
            </w:pPr>
            <w:r>
              <w:rPr>
                <w:color w:val="555555"/>
                <w:sz w:val="18"/>
                <w:szCs w:val="18"/>
              </w:rPr>
              <w:t>2023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239A" w14:textId="77777777" w:rsidR="00846524" w:rsidRDefault="00FA360A">
            <w:pPr>
              <w:jc w:val="center"/>
            </w:pPr>
            <w:r>
              <w:rPr>
                <w:color w:val="555555"/>
                <w:sz w:val="18"/>
                <w:szCs w:val="18"/>
              </w:rPr>
              <w:t>OpenData_OPNational02_2023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AAC81" w14:textId="77777777" w:rsidR="00846524" w:rsidRDefault="00FA360A">
            <w:pPr>
              <w:jc w:val="center"/>
            </w:pPr>
            <w:r>
              <w:rPr>
                <w:color w:val="555555"/>
                <w:sz w:val="18"/>
                <w:szCs w:val="18"/>
              </w:rPr>
              <w:t>1,011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975E" w14:textId="77777777" w:rsidR="00846524" w:rsidRDefault="00FA360A">
            <w:pPr>
              <w:jc w:val="center"/>
            </w:pPr>
            <w:r>
              <w:rPr>
                <w:color w:val="555555"/>
                <w:sz w:val="18"/>
                <w:szCs w:val="18"/>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3EE6E" w14:textId="77777777" w:rsidR="00846524" w:rsidRDefault="00FA360A">
            <w:pPr>
              <w:jc w:val="center"/>
            </w:pPr>
            <w:r>
              <w:rPr>
                <w:color w:val="555555"/>
                <w:sz w:val="18"/>
                <w:szCs w:val="18"/>
              </w:rPr>
              <w:t>64</w:t>
            </w:r>
          </w:p>
        </w:tc>
      </w:tr>
      <w:tr w:rsidR="00846524" w14:paraId="425A67CA" w14:textId="77777777">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85CCD" w14:textId="77777777" w:rsidR="00846524" w:rsidRDefault="00FA360A">
            <w:pPr>
              <w:jc w:val="center"/>
            </w:pPr>
            <w:r>
              <w:rPr>
                <w:color w:val="555555"/>
                <w:sz w:val="18"/>
                <w:szCs w:val="18"/>
              </w:rPr>
              <w:t>2024</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D0A73" w14:textId="77777777" w:rsidR="00846524" w:rsidRDefault="00FA360A">
            <w:pPr>
              <w:jc w:val="center"/>
            </w:pPr>
            <w:r>
              <w:rPr>
                <w:color w:val="555555"/>
                <w:sz w:val="18"/>
                <w:szCs w:val="18"/>
              </w:rPr>
              <w:t>OpenData_OPNational02_2024</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6BFC9" w14:textId="77777777" w:rsidR="00846524" w:rsidRDefault="00FA360A">
            <w:pPr>
              <w:jc w:val="center"/>
            </w:pPr>
            <w:r>
              <w:rPr>
                <w:color w:val="555555"/>
                <w:sz w:val="18"/>
                <w:szCs w:val="18"/>
              </w:rPr>
              <w:t>934</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84BF9" w14:textId="77777777" w:rsidR="00846524" w:rsidRDefault="00FA360A">
            <w:pPr>
              <w:jc w:val="center"/>
            </w:pPr>
            <w:r>
              <w:rPr>
                <w:color w:val="555555"/>
                <w:sz w:val="18"/>
                <w:szCs w:val="18"/>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77402" w14:textId="77777777" w:rsidR="00846524" w:rsidRDefault="00FA360A">
            <w:pPr>
              <w:jc w:val="center"/>
            </w:pPr>
            <w:r>
              <w:rPr>
                <w:color w:val="555555"/>
                <w:sz w:val="18"/>
                <w:szCs w:val="18"/>
              </w:rPr>
              <w:t>63</w:t>
            </w:r>
          </w:p>
        </w:tc>
      </w:tr>
      <w:tr w:rsidR="00846524" w14:paraId="4E2EBC9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7BEA" w14:textId="77777777" w:rsidR="00846524" w:rsidRDefault="00FA360A">
            <w:pPr>
              <w:jc w:val="center"/>
            </w:pPr>
            <w:r>
              <w:rPr>
                <w:color w:val="555555"/>
                <w:sz w:val="18"/>
                <w:szCs w:val="18"/>
              </w:rPr>
              <w:t>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A7715" w14:textId="77777777" w:rsidR="00846524" w:rsidRDefault="00FA360A">
            <w:pPr>
              <w:jc w:val="center"/>
            </w:pPr>
            <w:r>
              <w:rPr>
                <w:color w:val="555555"/>
                <w:sz w:val="18"/>
                <w:szCs w:val="18"/>
              </w:rPr>
              <w:t>OpenData_OPNational02_2025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72782" w14:textId="77777777" w:rsidR="00846524" w:rsidRDefault="00FA360A">
            <w:pPr>
              <w:jc w:val="center"/>
            </w:pPr>
            <w:r>
              <w:rPr>
                <w:color w:val="555555"/>
                <w:sz w:val="18"/>
                <w:szCs w:val="18"/>
              </w:rPr>
              <w:t>975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9FFC" w14:textId="77777777" w:rsidR="00846524" w:rsidRDefault="00FA360A">
            <w:pPr>
              <w:jc w:val="center"/>
            </w:pPr>
            <w:r>
              <w:rPr>
                <w:color w:val="555555"/>
                <w:sz w:val="18"/>
                <w:szCs w:val="18"/>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66D4" w14:textId="77777777" w:rsidR="00846524" w:rsidRDefault="00FA360A">
            <w:pPr>
              <w:jc w:val="center"/>
            </w:pPr>
            <w:r>
              <w:rPr>
                <w:color w:val="555555"/>
                <w:sz w:val="18"/>
                <w:szCs w:val="18"/>
              </w:rPr>
              <w:t>61</w:t>
            </w:r>
          </w:p>
        </w:tc>
      </w:tr>
      <w:tr w:rsidR="00846524" w14:paraId="06ECCA46" w14:textId="77777777">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5C412" w14:textId="77777777" w:rsidR="00846524" w:rsidRDefault="00FA360A">
            <w:pPr>
              <w:jc w:val="center"/>
            </w:pPr>
            <w:r>
              <w:rPr>
                <w:color w:val="555555"/>
                <w:sz w:val="18"/>
                <w:szCs w:val="18"/>
              </w:rPr>
              <w:t>Combined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FD0DC" w14:textId="77777777" w:rsidR="00846524" w:rsidRDefault="00FA360A">
            <w:pPr>
              <w:jc w:val="center"/>
            </w:pPr>
            <w:r>
              <w:rPr>
                <w:color w:val="555555"/>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C7E89" w14:textId="77777777" w:rsidR="00846524" w:rsidRDefault="00FA360A">
            <w:pPr>
              <w:jc w:val="center"/>
            </w:pPr>
            <w:r>
              <w:rPr>
                <w:color w:val="555555"/>
                <w:sz w:val="18"/>
                <w:szCs w:val="18"/>
              </w:rPr>
              <w:t>2,920</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F15DA" w14:textId="77777777" w:rsidR="00846524" w:rsidRDefault="00FA360A">
            <w:pPr>
              <w:jc w:val="center"/>
            </w:pPr>
            <w:r>
              <w:rPr>
                <w:color w:val="555555"/>
                <w:sz w:val="18"/>
                <w:szCs w:val="18"/>
              </w:rPr>
              <w:t>36</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61BFE" w14:textId="77777777" w:rsidR="00846524" w:rsidRDefault="00FA360A">
            <w:pPr>
              <w:jc w:val="center"/>
            </w:pPr>
            <w:r>
              <w:rPr>
                <w:color w:val="555555"/>
                <w:sz w:val="18"/>
                <w:szCs w:val="18"/>
              </w:rPr>
              <w:t>58 consistent</w:t>
            </w:r>
          </w:p>
        </w:tc>
      </w:tr>
    </w:tbl>
    <w:p w14:paraId="4518A197" w14:textId="77777777" w:rsidR="00846524" w:rsidRDefault="00846524">
      <w:pPr>
        <w:spacing w:before="160"/>
      </w:pPr>
    </w:p>
    <w:p w14:paraId="5CFC069B" w14:textId="77777777" w:rsidR="00846524" w:rsidRDefault="00FA360A">
      <w:pPr>
        <w:pStyle w:val="Heading2"/>
      </w:pPr>
      <w:r>
        <w:t>3.2 Data Cleaning</w:t>
      </w:r>
    </w:p>
    <w:p w14:paraId="4B963F9A" w14:textId="77777777" w:rsidR="00846524" w:rsidRDefault="00FA360A">
      <w:pPr>
        <w:spacing w:before="80" w:after="120" w:line="320" w:lineRule="auto"/>
        <w:jc w:val="both"/>
      </w:pPr>
      <w:r>
        <w:rPr>
          <w:color w:val="555555"/>
        </w:rPr>
        <w:t>The three files were combined and cleaned using Microsoft Power Query before being loaded into a PostgreSQL database. The following cleaning steps were applied:</w:t>
      </w:r>
    </w:p>
    <w:p w14:paraId="5E12C1DF" w14:textId="77777777" w:rsidR="00846524" w:rsidRDefault="00FA360A">
      <w:pPr>
        <w:pStyle w:val="ListParagraph"/>
        <w:numPr>
          <w:ilvl w:val="0"/>
          <w:numId w:val="2"/>
        </w:numPr>
        <w:spacing w:before="60" w:after="60" w:line="300" w:lineRule="auto"/>
      </w:pPr>
      <w:r>
        <w:rPr>
          <w:color w:val="555555"/>
        </w:rPr>
        <w:t>All three annual CSV files were combined into a single unified table</w:t>
      </w:r>
    </w:p>
    <w:p w14:paraId="10A47A6E" w14:textId="77777777" w:rsidR="00846524" w:rsidRDefault="00FA360A">
      <w:pPr>
        <w:pStyle w:val="ListParagraph"/>
        <w:numPr>
          <w:ilvl w:val="0"/>
          <w:numId w:val="2"/>
        </w:numPr>
        <w:spacing w:before="60" w:after="60" w:line="300" w:lineRule="auto"/>
      </w:pPr>
      <w:r>
        <w:rPr>
          <w:color w:val="555555"/>
        </w:rPr>
        <w:t>Date column was converted from text format to a proper date data type</w:t>
      </w:r>
    </w:p>
    <w:p w14:paraId="10F98F74" w14:textId="77777777" w:rsidR="00846524" w:rsidRDefault="00FA360A">
      <w:pPr>
        <w:pStyle w:val="ListParagraph"/>
        <w:numPr>
          <w:ilvl w:val="0"/>
          <w:numId w:val="2"/>
        </w:numPr>
        <w:spacing w:before="60" w:after="60" w:line="300" w:lineRule="auto"/>
      </w:pPr>
      <w:r>
        <w:rPr>
          <w:color w:val="555555"/>
        </w:rPr>
        <w:t>Numeric columns containing comma-formatted values (e.g. “2,206”) were converted to whole numbers</w:t>
      </w:r>
    </w:p>
    <w:p w14:paraId="5100FF2D" w14:textId="77777777" w:rsidR="00846524" w:rsidRDefault="00FA360A">
      <w:pPr>
        <w:pStyle w:val="ListParagraph"/>
        <w:numPr>
          <w:ilvl w:val="0"/>
          <w:numId w:val="2"/>
        </w:numPr>
        <w:spacing w:before="60" w:after="60" w:line="300" w:lineRule="auto"/>
      </w:pPr>
      <w:r>
        <w:rPr>
          <w:color w:val="555555"/>
        </w:rPr>
        <w:t>Year and month number columns were derived from the archive date</w:t>
      </w:r>
    </w:p>
    <w:p w14:paraId="2E4A375E" w14:textId="77777777" w:rsidR="00846524" w:rsidRDefault="00FA360A">
      <w:pPr>
        <w:pStyle w:val="ListParagraph"/>
        <w:numPr>
          <w:ilvl w:val="0"/>
          <w:numId w:val="2"/>
        </w:numPr>
        <w:spacing w:before="60" w:after="60" w:line="300" w:lineRule="auto"/>
      </w:pPr>
      <w:r>
        <w:rPr>
          <w:color w:val="555555"/>
        </w:rPr>
        <w:t xml:space="preserve">A percentage over 12 months column was calculated: (wait_12_18m + wait_18m_plus) / </w:t>
      </w:r>
      <w:proofErr w:type="spellStart"/>
      <w:r>
        <w:rPr>
          <w:color w:val="555555"/>
        </w:rPr>
        <w:t>total_waiting</w:t>
      </w:r>
      <w:proofErr w:type="spellEnd"/>
      <w:r>
        <w:rPr>
          <w:color w:val="555555"/>
        </w:rPr>
        <w:t xml:space="preserve"> × 100</w:t>
      </w:r>
    </w:p>
    <w:p w14:paraId="703AD8B4" w14:textId="77777777" w:rsidR="00846524" w:rsidRDefault="00FA360A">
      <w:pPr>
        <w:pStyle w:val="ListParagraph"/>
        <w:numPr>
          <w:ilvl w:val="0"/>
          <w:numId w:val="2"/>
        </w:numPr>
        <w:spacing w:before="60" w:after="60" w:line="300" w:lineRule="auto"/>
      </w:pPr>
      <w:r>
        <w:rPr>
          <w:color w:val="555555"/>
        </w:rPr>
        <w:t>No null values were found in any column across any of the three files</w:t>
      </w:r>
    </w:p>
    <w:p w14:paraId="1C985D24" w14:textId="77777777" w:rsidR="00846524" w:rsidRDefault="00846524">
      <w:pPr>
        <w:spacing w:before="160"/>
      </w:pPr>
    </w:p>
    <w:p w14:paraId="1C39E959" w14:textId="77777777" w:rsidR="00846524" w:rsidRDefault="00FA360A">
      <w:pPr>
        <w:pStyle w:val="Heading2"/>
      </w:pPr>
      <w:r>
        <w:t>3.3 Analysis Approach</w:t>
      </w:r>
    </w:p>
    <w:p w14:paraId="16597FFF" w14:textId="38200BC9" w:rsidR="00846524" w:rsidRDefault="00FA360A" w:rsidP="00C670CF">
      <w:pPr>
        <w:spacing w:before="80" w:after="120" w:line="320" w:lineRule="auto"/>
        <w:jc w:val="both"/>
      </w:pPr>
      <w:r>
        <w:rPr>
          <w:color w:val="555555"/>
        </w:rPr>
        <w:t>Five SQL queries were written in PostgreSQL to answer five specific business questions. Results were then visualised in a three-page Power BI dashboard. Each query was designed to move from broad overview to specific insight, building a connected narrative across the full dataset.</w:t>
      </w:r>
    </w:p>
    <w:p w14:paraId="0290288A" w14:textId="77777777" w:rsidR="00846524" w:rsidRDefault="00FA360A">
      <w:pPr>
        <w:pStyle w:val="Heading1"/>
        <w:pBdr>
          <w:bottom w:val="single" w:sz="6" w:space="4" w:color="2E8B7A"/>
        </w:pBdr>
      </w:pPr>
      <w:r>
        <w:t>4. Key Findings</w:t>
      </w:r>
    </w:p>
    <w:p w14:paraId="6F6FF3DF" w14:textId="77777777" w:rsidR="00846524" w:rsidRDefault="008465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46524" w14:paraId="0DB4090C" w14:textId="77777777">
        <w:tc>
          <w:tcPr>
            <w:tcW w:w="600" w:type="dxa"/>
            <w:tcBorders>
              <w:top w:val="single" w:sz="1" w:space="0" w:color="CCCCCC"/>
              <w:left w:val="single" w:sz="1" w:space="0" w:color="CCCCCC"/>
              <w:bottom w:val="single" w:sz="1" w:space="0" w:color="CCCCCC"/>
              <w:right w:val="single" w:sz="1" w:space="0" w:color="CCCCCC"/>
            </w:tcBorders>
            <w:shd w:val="clear" w:color="auto" w:fill="2E8B7A"/>
            <w:tcMar>
              <w:top w:w="120" w:type="dxa"/>
              <w:left w:w="120" w:type="dxa"/>
              <w:bottom w:w="120" w:type="dxa"/>
              <w:right w:w="120" w:type="dxa"/>
            </w:tcMar>
            <w:vAlign w:val="center"/>
          </w:tcPr>
          <w:p w14:paraId="34EBA5A1" w14:textId="77777777" w:rsidR="00846524" w:rsidRDefault="00FA360A">
            <w:pPr>
              <w:jc w:val="center"/>
            </w:pPr>
            <w:r>
              <w:rPr>
                <w:b/>
                <w:bCs/>
                <w:color w:val="FFFFFF"/>
                <w:sz w:val="28"/>
                <w:szCs w:val="2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E8F5F2"/>
            <w:tcMar>
              <w:top w:w="120" w:type="dxa"/>
              <w:left w:w="200" w:type="dxa"/>
              <w:bottom w:w="120" w:type="dxa"/>
              <w:right w:w="200" w:type="dxa"/>
            </w:tcMar>
          </w:tcPr>
          <w:p w14:paraId="4F3DE662" w14:textId="77777777" w:rsidR="00846524" w:rsidRDefault="00FA360A">
            <w:pPr>
              <w:spacing w:after="40"/>
            </w:pPr>
            <w:r>
              <w:rPr>
                <w:b/>
                <w:bCs/>
                <w:color w:val="2C2C2C"/>
              </w:rPr>
              <w:t>Overall Demand Is Growing Despite Improvement in Long Waits</w:t>
            </w:r>
          </w:p>
          <w:p w14:paraId="14BC0FBA" w14:textId="2493CB00" w:rsidR="00846524" w:rsidRDefault="00FA360A">
            <w:r>
              <w:rPr>
                <w:color w:val="555555"/>
                <w:sz w:val="20"/>
                <w:szCs w:val="20"/>
              </w:rPr>
              <w:t xml:space="preserve">Total patient records across all three years exceeded 21 million. The overall number of patients on waiting lists grew from 7.1 million records in 2023 to 7.2 million in 2025. At the same time, the proportion waiting over 12 months fell from 22.93% in 2023 to 16.70% in 2025 a 6.23 percentage point improvement. This means the system is getting better at reducing the longest </w:t>
            </w:r>
            <w:proofErr w:type="gramStart"/>
            <w:r>
              <w:rPr>
                <w:color w:val="555555"/>
                <w:sz w:val="20"/>
                <w:szCs w:val="20"/>
              </w:rPr>
              <w:t>waits, but</w:t>
            </w:r>
            <w:proofErr w:type="gramEnd"/>
            <w:r>
              <w:rPr>
                <w:color w:val="555555"/>
                <w:sz w:val="20"/>
                <w:szCs w:val="20"/>
              </w:rPr>
              <w:t xml:space="preserve"> is seeing more patients overall.</w:t>
            </w:r>
            <w:r w:rsidR="00A510F7">
              <w:rPr>
                <w:color w:val="555555"/>
                <w:sz w:val="20"/>
                <w:szCs w:val="20"/>
              </w:rPr>
              <w:t xml:space="preserve"> </w:t>
            </w:r>
            <w:r w:rsidR="00A510F7" w:rsidRPr="00A510F7">
              <w:rPr>
                <w:color w:val="555555"/>
                <w:sz w:val="20"/>
                <w:szCs w:val="20"/>
              </w:rPr>
              <w:t>See Figure 1 for the full year-on-year trend across all three years</w:t>
            </w:r>
          </w:p>
        </w:tc>
      </w:tr>
    </w:tbl>
    <w:p w14:paraId="3CBA467F" w14:textId="77777777" w:rsidR="005F7134" w:rsidRDefault="005F7134">
      <w:pPr>
        <w:spacing w:before="120"/>
      </w:pPr>
    </w:p>
    <w:p w14:paraId="4ECBC6DC" w14:textId="21A7C842" w:rsidR="00846524" w:rsidRDefault="0037629B">
      <w:pPr>
        <w:spacing w:before="120"/>
      </w:pPr>
      <w:r>
        <w:rPr>
          <w:noProof/>
        </w:rPr>
        <w:drawing>
          <wp:inline distT="0" distB="0" distL="0" distR="0" wp14:anchorId="26DD2289" wp14:editId="73068B3F">
            <wp:extent cx="5731510" cy="3309620"/>
            <wp:effectExtent l="0" t="0" r="2540" b="5080"/>
            <wp:docPr id="18948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5400" name="Picture 1894885400"/>
                    <pic:cNvPicPr/>
                  </pic:nvPicPr>
                  <pic:blipFill>
                    <a:blip r:embed="rId7">
                      <a:extLst>
                        <a:ext uri="{28A0092B-C50C-407E-A947-70E740481C1C}">
                          <a14:useLocalDpi xmlns:a14="http://schemas.microsoft.com/office/drawing/2010/main" val="0"/>
                        </a:ext>
                      </a:extLst>
                    </a:blip>
                    <a:stretch>
                      <a:fillRect/>
                    </a:stretch>
                  </pic:blipFill>
                  <pic:spPr>
                    <a:xfrm>
                      <a:off x="0" y="0"/>
                      <a:ext cx="5731510" cy="3309620"/>
                    </a:xfrm>
                    <a:prstGeom prst="rect">
                      <a:avLst/>
                    </a:prstGeom>
                  </pic:spPr>
                </pic:pic>
              </a:graphicData>
            </a:graphic>
          </wp:inline>
        </w:drawing>
      </w:r>
    </w:p>
    <w:p w14:paraId="5D83BAF2" w14:textId="564BCD1C" w:rsidR="005F7134" w:rsidRPr="005C62FC" w:rsidRDefault="005C62FC" w:rsidP="005C62FC">
      <w:pPr>
        <w:spacing w:before="120"/>
        <w:jc w:val="center"/>
        <w:rPr>
          <w:b/>
          <w:bCs/>
          <w:sz w:val="18"/>
          <w:szCs w:val="18"/>
        </w:rPr>
      </w:pPr>
      <w:r w:rsidRPr="005C62FC">
        <w:rPr>
          <w:b/>
          <w:bCs/>
          <w:sz w:val="18"/>
          <w:szCs w:val="18"/>
        </w:rPr>
        <w:t>Figure 1: The Scale of the Problem Overall Waiting List Trends 2023–2025</w:t>
      </w:r>
    </w:p>
    <w:p w14:paraId="7C2B2003" w14:textId="77777777" w:rsidR="0037629B" w:rsidRDefault="0037629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46524" w14:paraId="3998D25F" w14:textId="77777777">
        <w:tc>
          <w:tcPr>
            <w:tcW w:w="600" w:type="dxa"/>
            <w:tcBorders>
              <w:top w:val="single" w:sz="1" w:space="0" w:color="CCCCCC"/>
              <w:left w:val="single" w:sz="1" w:space="0" w:color="CCCCCC"/>
              <w:bottom w:val="single" w:sz="1" w:space="0" w:color="CCCCCC"/>
              <w:right w:val="single" w:sz="1" w:space="0" w:color="CCCCCC"/>
            </w:tcBorders>
            <w:shd w:val="clear" w:color="auto" w:fill="2E8B7A"/>
            <w:tcMar>
              <w:top w:w="120" w:type="dxa"/>
              <w:left w:w="120" w:type="dxa"/>
              <w:bottom w:w="120" w:type="dxa"/>
              <w:right w:w="120" w:type="dxa"/>
            </w:tcMar>
            <w:vAlign w:val="center"/>
          </w:tcPr>
          <w:p w14:paraId="7A98B3EB" w14:textId="77777777" w:rsidR="00846524" w:rsidRDefault="00FA360A">
            <w:pPr>
              <w:jc w:val="center"/>
            </w:pPr>
            <w:r>
              <w:rPr>
                <w:b/>
                <w:bCs/>
                <w:color w:val="FFFFFF"/>
                <w:sz w:val="28"/>
                <w:szCs w:val="2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E8F5F2"/>
            <w:tcMar>
              <w:top w:w="120" w:type="dxa"/>
              <w:left w:w="200" w:type="dxa"/>
              <w:bottom w:w="120" w:type="dxa"/>
              <w:right w:w="200" w:type="dxa"/>
            </w:tcMar>
          </w:tcPr>
          <w:p w14:paraId="4F3B41F2" w14:textId="77777777" w:rsidR="00846524" w:rsidRDefault="00FA360A">
            <w:pPr>
              <w:spacing w:after="40"/>
            </w:pPr>
            <w:r>
              <w:rPr>
                <w:b/>
                <w:bCs/>
                <w:color w:val="2C2C2C"/>
              </w:rPr>
              <w:t>Orthopaedics, Dermatology and Cardiology Carry the Highest Volume</w:t>
            </w:r>
          </w:p>
          <w:p w14:paraId="2F5DB942" w14:textId="258D5F49" w:rsidR="00846524" w:rsidRDefault="00FA360A">
            <w:r>
              <w:rPr>
                <w:color w:val="555555"/>
                <w:sz w:val="20"/>
                <w:szCs w:val="20"/>
              </w:rPr>
              <w:t>Among adult patients, Orthopaedics had the highest total waiting list volume with over 2.3 million patient records across the three years, followed by Dermatology at 1.84 million and Cardiology at 1.37 million. However, volume alone does not reflect severity. Neurology had 16.13% of its patients waiting 18 months or more, and Ophthalmology had 15.57% both significantly higher than Orthopaedics at 7.02%.</w:t>
            </w:r>
            <w:r w:rsidR="00925724">
              <w:rPr>
                <w:color w:val="555555"/>
                <w:sz w:val="20"/>
                <w:szCs w:val="20"/>
              </w:rPr>
              <w:t xml:space="preserve"> </w:t>
            </w:r>
            <w:r w:rsidR="00925724" w:rsidRPr="00925724">
              <w:rPr>
                <w:color w:val="555555"/>
                <w:sz w:val="20"/>
                <w:szCs w:val="20"/>
              </w:rPr>
              <w:t xml:space="preserve">Figure 2 </w:t>
            </w:r>
            <w:r w:rsidR="00762762">
              <w:rPr>
                <w:color w:val="555555"/>
                <w:sz w:val="20"/>
                <w:szCs w:val="20"/>
              </w:rPr>
              <w:t>shows</w:t>
            </w:r>
            <w:r w:rsidR="00925724" w:rsidRPr="00925724">
              <w:rPr>
                <w:color w:val="555555"/>
                <w:sz w:val="20"/>
                <w:szCs w:val="20"/>
              </w:rPr>
              <w:t xml:space="preserve"> the contrast between the highest-volume specialties and those with the most severe long-wait rates</w:t>
            </w:r>
          </w:p>
        </w:tc>
      </w:tr>
    </w:tbl>
    <w:p w14:paraId="36CB6599" w14:textId="77777777" w:rsidR="00846524" w:rsidRDefault="0084652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46524" w14:paraId="285D1201" w14:textId="77777777">
        <w:tc>
          <w:tcPr>
            <w:tcW w:w="600" w:type="dxa"/>
            <w:tcBorders>
              <w:top w:val="single" w:sz="1" w:space="0" w:color="CCCCCC"/>
              <w:left w:val="single" w:sz="1" w:space="0" w:color="CCCCCC"/>
              <w:bottom w:val="single" w:sz="1" w:space="0" w:color="CCCCCC"/>
              <w:right w:val="single" w:sz="1" w:space="0" w:color="CCCCCC"/>
            </w:tcBorders>
            <w:shd w:val="clear" w:color="auto" w:fill="2E8B7A"/>
            <w:tcMar>
              <w:top w:w="120" w:type="dxa"/>
              <w:left w:w="120" w:type="dxa"/>
              <w:bottom w:w="120" w:type="dxa"/>
              <w:right w:w="120" w:type="dxa"/>
            </w:tcMar>
            <w:vAlign w:val="center"/>
          </w:tcPr>
          <w:p w14:paraId="34056551" w14:textId="77777777" w:rsidR="00846524" w:rsidRDefault="00FA360A">
            <w:pPr>
              <w:jc w:val="center"/>
            </w:pPr>
            <w:r>
              <w:rPr>
                <w:b/>
                <w:bCs/>
                <w:color w:val="FFFFFF"/>
                <w:sz w:val="28"/>
                <w:szCs w:val="2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E8F5F2"/>
            <w:tcMar>
              <w:top w:w="120" w:type="dxa"/>
              <w:left w:w="200" w:type="dxa"/>
              <w:bottom w:w="120" w:type="dxa"/>
              <w:right w:w="200" w:type="dxa"/>
            </w:tcMar>
          </w:tcPr>
          <w:p w14:paraId="4E0C99E2" w14:textId="77777777" w:rsidR="00846524" w:rsidRDefault="00FA360A">
            <w:pPr>
              <w:spacing w:after="40"/>
            </w:pPr>
            <w:r>
              <w:rPr>
                <w:b/>
                <w:bCs/>
                <w:color w:val="2C2C2C"/>
              </w:rPr>
              <w:t>Children Are Being Left Behind</w:t>
            </w:r>
          </w:p>
          <w:p w14:paraId="54785B8D" w14:textId="20D6FA32" w:rsidR="00846524" w:rsidRDefault="00FA360A">
            <w:r>
              <w:rPr>
                <w:color w:val="555555"/>
                <w:sz w:val="20"/>
                <w:szCs w:val="20"/>
              </w:rPr>
              <w:t>In 2023, adults had a higher proportion of 18+ month waiters than children (13.40% vs 11.28%). By 2025, this had reversed: 8.23% of children were waiting 18 months or more, compared to 7.32% of adults. Children are now proportionally worse off than adults for long waits. Eight of the fifteen specialties with the highest rates of patients waiting over 12 months are children’s services, including Rheumatology Child (49.75%), Paediatric Dermatology (31.99%), and Developmental Paediatrics (31.85%).</w:t>
            </w:r>
            <w:r w:rsidR="000B29D2">
              <w:rPr>
                <w:color w:val="555555"/>
                <w:sz w:val="20"/>
                <w:szCs w:val="20"/>
              </w:rPr>
              <w:t xml:space="preserve"> </w:t>
            </w:r>
            <w:r w:rsidR="000B29D2" w:rsidRPr="000B29D2">
              <w:rPr>
                <w:color w:val="555555"/>
                <w:sz w:val="20"/>
                <w:szCs w:val="20"/>
              </w:rPr>
              <w:t>Figure 2 also shows the Adults vs Children breakdown across the top specialties by 18+ month waiters.</w:t>
            </w:r>
          </w:p>
        </w:tc>
      </w:tr>
    </w:tbl>
    <w:p w14:paraId="15888BC7" w14:textId="77777777" w:rsidR="00846524" w:rsidRDefault="00846524">
      <w:pPr>
        <w:spacing w:before="120"/>
      </w:pPr>
    </w:p>
    <w:p w14:paraId="1E4FE4AD" w14:textId="0676E8F8" w:rsidR="005F7134" w:rsidRDefault="005F7134">
      <w:pPr>
        <w:spacing w:before="120"/>
      </w:pPr>
      <w:r>
        <w:rPr>
          <w:noProof/>
        </w:rPr>
        <w:drawing>
          <wp:inline distT="0" distB="0" distL="0" distR="0" wp14:anchorId="1AD41696" wp14:editId="603C7718">
            <wp:extent cx="5731510" cy="3312795"/>
            <wp:effectExtent l="0" t="0" r="2540" b="1905"/>
            <wp:docPr id="1594530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0116" name="Picture 1594530116"/>
                    <pic:cNvPicPr/>
                  </pic:nvPicPr>
                  <pic:blipFill>
                    <a:blip r:embed="rId8">
                      <a:extLst>
                        <a:ext uri="{28A0092B-C50C-407E-A947-70E740481C1C}">
                          <a14:useLocalDpi xmlns:a14="http://schemas.microsoft.com/office/drawing/2010/main" val="0"/>
                        </a:ext>
                      </a:extLst>
                    </a:blip>
                    <a:stretch>
                      <a:fillRect/>
                    </a:stretch>
                  </pic:blipFill>
                  <pic:spPr>
                    <a:xfrm>
                      <a:off x="0" y="0"/>
                      <a:ext cx="5731510" cy="3312795"/>
                    </a:xfrm>
                    <a:prstGeom prst="rect">
                      <a:avLst/>
                    </a:prstGeom>
                  </pic:spPr>
                </pic:pic>
              </a:graphicData>
            </a:graphic>
          </wp:inline>
        </w:drawing>
      </w:r>
    </w:p>
    <w:p w14:paraId="1B78DD17" w14:textId="7D10905D" w:rsidR="005F7134" w:rsidRPr="00451C52" w:rsidRDefault="00451C52" w:rsidP="00451C52">
      <w:pPr>
        <w:spacing w:before="120"/>
        <w:jc w:val="center"/>
        <w:rPr>
          <w:b/>
          <w:bCs/>
          <w:sz w:val="18"/>
          <w:szCs w:val="18"/>
        </w:rPr>
      </w:pPr>
      <w:r w:rsidRPr="00451C52">
        <w:rPr>
          <w:b/>
          <w:bCs/>
          <w:sz w:val="18"/>
          <w:szCs w:val="18"/>
        </w:rPr>
        <w:t>Figure 2: Where The Pressure Is Specialty and Patient Group Analysis</w:t>
      </w:r>
    </w:p>
    <w:p w14:paraId="23BE0BEF" w14:textId="77777777" w:rsidR="005C62FC" w:rsidRDefault="005C62F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46524" w14:paraId="7019B9E6" w14:textId="77777777">
        <w:tc>
          <w:tcPr>
            <w:tcW w:w="600" w:type="dxa"/>
            <w:tcBorders>
              <w:top w:val="single" w:sz="1" w:space="0" w:color="CCCCCC"/>
              <w:left w:val="single" w:sz="1" w:space="0" w:color="CCCCCC"/>
              <w:bottom w:val="single" w:sz="1" w:space="0" w:color="CCCCCC"/>
              <w:right w:val="single" w:sz="1" w:space="0" w:color="CCCCCC"/>
            </w:tcBorders>
            <w:shd w:val="clear" w:color="auto" w:fill="2E8B7A"/>
            <w:tcMar>
              <w:top w:w="120" w:type="dxa"/>
              <w:left w:w="120" w:type="dxa"/>
              <w:bottom w:w="120" w:type="dxa"/>
              <w:right w:w="120" w:type="dxa"/>
            </w:tcMar>
            <w:vAlign w:val="center"/>
          </w:tcPr>
          <w:p w14:paraId="32671BD9" w14:textId="77777777" w:rsidR="00846524" w:rsidRDefault="00FA360A">
            <w:pPr>
              <w:jc w:val="center"/>
            </w:pPr>
            <w:r>
              <w:rPr>
                <w:b/>
                <w:bCs/>
                <w:color w:val="FFFFFF"/>
                <w:sz w:val="28"/>
                <w:szCs w:val="2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E8F5F2"/>
            <w:tcMar>
              <w:top w:w="120" w:type="dxa"/>
              <w:left w:w="200" w:type="dxa"/>
              <w:bottom w:w="120" w:type="dxa"/>
              <w:right w:w="200" w:type="dxa"/>
            </w:tcMar>
          </w:tcPr>
          <w:p w14:paraId="38A42368" w14:textId="77777777" w:rsidR="00846524" w:rsidRDefault="00FA360A">
            <w:pPr>
              <w:spacing w:after="40"/>
            </w:pPr>
            <w:r>
              <w:rPr>
                <w:b/>
                <w:bCs/>
                <w:color w:val="2C2C2C"/>
              </w:rPr>
              <w:t>The 18+ Month Backlog Fell by 55% Then Stalled</w:t>
            </w:r>
          </w:p>
          <w:p w14:paraId="0BEF22E1" w14:textId="396EA4CF" w:rsidR="00846524" w:rsidRDefault="00FA360A">
            <w:r>
              <w:rPr>
                <w:color w:val="555555"/>
                <w:sz w:val="20"/>
                <w:szCs w:val="20"/>
              </w:rPr>
              <w:t>The number of patients waiting 18 months or more fell from a peak of 95,582 in January 2023 to 42,996 by December 2024</w:t>
            </w:r>
            <w:r w:rsidR="00C670CF">
              <w:rPr>
                <w:color w:val="555555"/>
                <w:sz w:val="20"/>
                <w:szCs w:val="20"/>
              </w:rPr>
              <w:t xml:space="preserve"> </w:t>
            </w:r>
            <w:r>
              <w:rPr>
                <w:color w:val="555555"/>
                <w:sz w:val="20"/>
                <w:szCs w:val="20"/>
              </w:rPr>
              <w:t>a reduction of over 55% in two years. This reflects the impact of NTPF outsourcing and insourcing programmes. However, throughout 2025, the number plateaued between 43,000 and 47,000 patients, with no further meaningful reduction. This suggests the most accessible gains have already been made.</w:t>
            </w:r>
            <w:r w:rsidR="000B29D2">
              <w:rPr>
                <w:color w:val="555555"/>
                <w:sz w:val="20"/>
                <w:szCs w:val="20"/>
              </w:rPr>
              <w:t xml:space="preserve"> </w:t>
            </w:r>
            <w:r w:rsidR="000B29D2" w:rsidRPr="000B29D2">
              <w:rPr>
                <w:color w:val="555555"/>
                <w:sz w:val="20"/>
                <w:szCs w:val="20"/>
              </w:rPr>
              <w:t>The monthly progression of this decline and the 2025 plateau are clearly visible in Figure 3.</w:t>
            </w:r>
          </w:p>
        </w:tc>
      </w:tr>
    </w:tbl>
    <w:p w14:paraId="25FD942F" w14:textId="77777777" w:rsidR="00846524" w:rsidRDefault="0084652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46524" w14:paraId="6368C640" w14:textId="77777777">
        <w:tc>
          <w:tcPr>
            <w:tcW w:w="600" w:type="dxa"/>
            <w:tcBorders>
              <w:top w:val="single" w:sz="1" w:space="0" w:color="CCCCCC"/>
              <w:left w:val="single" w:sz="1" w:space="0" w:color="CCCCCC"/>
              <w:bottom w:val="single" w:sz="1" w:space="0" w:color="CCCCCC"/>
              <w:right w:val="single" w:sz="1" w:space="0" w:color="CCCCCC"/>
            </w:tcBorders>
            <w:shd w:val="clear" w:color="auto" w:fill="2E8B7A"/>
            <w:tcMar>
              <w:top w:w="120" w:type="dxa"/>
              <w:left w:w="120" w:type="dxa"/>
              <w:bottom w:w="120" w:type="dxa"/>
              <w:right w:w="120" w:type="dxa"/>
            </w:tcMar>
            <w:vAlign w:val="center"/>
          </w:tcPr>
          <w:p w14:paraId="0C2A8AA5" w14:textId="77777777" w:rsidR="00846524" w:rsidRDefault="00FA360A">
            <w:pPr>
              <w:jc w:val="center"/>
            </w:pPr>
            <w:r>
              <w:rPr>
                <w:b/>
                <w:bCs/>
                <w:color w:val="FFFFFF"/>
                <w:sz w:val="28"/>
                <w:szCs w:val="2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E8F5F2"/>
            <w:tcMar>
              <w:top w:w="120" w:type="dxa"/>
              <w:left w:w="200" w:type="dxa"/>
              <w:bottom w:w="120" w:type="dxa"/>
              <w:right w:w="200" w:type="dxa"/>
            </w:tcMar>
          </w:tcPr>
          <w:p w14:paraId="57159EED" w14:textId="77777777" w:rsidR="00846524" w:rsidRDefault="00FA360A">
            <w:pPr>
              <w:spacing w:after="40"/>
            </w:pPr>
            <w:r>
              <w:rPr>
                <w:b/>
                <w:bCs/>
                <w:color w:val="2C2C2C"/>
              </w:rPr>
              <w:t>Oral Surgery and Clinical Genetics Face the Most Severe Backlogs</w:t>
            </w:r>
          </w:p>
          <w:p w14:paraId="737ED2C5" w14:textId="5AAA7809" w:rsidR="00846524" w:rsidRDefault="00FA360A">
            <w:r>
              <w:rPr>
                <w:color w:val="555555"/>
                <w:sz w:val="20"/>
                <w:szCs w:val="20"/>
              </w:rPr>
              <w:t>When looking at the proportion of patients waiting over 12 months, Oral Surgery (Adult) had the highest rate at 62.88%, meaning nearly two in three adult oral surgery patients had been waiting more than a year. Clinical (Medical) Genetics (Adult) was at 46.52% and Rheumatology (Child) at 49.75%. These are specialties where delayed treatment carries serious health consequences, including permanent joint damage in children and delayed cancer risk assessment in adults.</w:t>
            </w:r>
            <w:r w:rsidR="004A004E">
              <w:rPr>
                <w:color w:val="555555"/>
                <w:sz w:val="20"/>
                <w:szCs w:val="20"/>
              </w:rPr>
              <w:t xml:space="preserve"> </w:t>
            </w:r>
            <w:r w:rsidR="004A004E" w:rsidRPr="004A004E">
              <w:rPr>
                <w:color w:val="555555"/>
                <w:sz w:val="20"/>
                <w:szCs w:val="20"/>
              </w:rPr>
              <w:t xml:space="preserve">Figure 3 further </w:t>
            </w:r>
            <w:r w:rsidR="002B7216">
              <w:rPr>
                <w:color w:val="555555"/>
                <w:sz w:val="20"/>
                <w:szCs w:val="20"/>
              </w:rPr>
              <w:t>shows</w:t>
            </w:r>
            <w:r w:rsidR="004A004E" w:rsidRPr="004A004E">
              <w:rPr>
                <w:color w:val="555555"/>
                <w:sz w:val="20"/>
                <w:szCs w:val="20"/>
              </w:rPr>
              <w:t xml:space="preserve"> how the composition of the waiting list has shifted across the three years.</w:t>
            </w:r>
          </w:p>
        </w:tc>
      </w:tr>
    </w:tbl>
    <w:p w14:paraId="6EFAE664" w14:textId="07F2DAF6" w:rsidR="005F7134" w:rsidRDefault="005F7134">
      <w:pPr>
        <w:pStyle w:val="Heading1"/>
        <w:pBdr>
          <w:bottom w:val="single" w:sz="6" w:space="4" w:color="2E8B7A"/>
        </w:pBdr>
      </w:pPr>
      <w:r>
        <w:rPr>
          <w:noProof/>
        </w:rPr>
        <w:lastRenderedPageBreak/>
        <w:drawing>
          <wp:inline distT="0" distB="0" distL="0" distR="0" wp14:anchorId="0AC6CD69" wp14:editId="1294E813">
            <wp:extent cx="5731510" cy="3298190"/>
            <wp:effectExtent l="0" t="0" r="2540" b="0"/>
            <wp:docPr id="122690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8229" name="Picture 1226908229"/>
                    <pic:cNvPicPr/>
                  </pic:nvPicPr>
                  <pic:blipFill>
                    <a:blip r:embed="rId9">
                      <a:extLst>
                        <a:ext uri="{28A0092B-C50C-407E-A947-70E740481C1C}">
                          <a14:useLocalDpi xmlns:a14="http://schemas.microsoft.com/office/drawing/2010/main" val="0"/>
                        </a:ext>
                      </a:extLst>
                    </a:blip>
                    <a:stretch>
                      <a:fillRect/>
                    </a:stretch>
                  </pic:blipFill>
                  <pic:spPr>
                    <a:xfrm>
                      <a:off x="0" y="0"/>
                      <a:ext cx="5731510" cy="3298190"/>
                    </a:xfrm>
                    <a:prstGeom prst="rect">
                      <a:avLst/>
                    </a:prstGeom>
                  </pic:spPr>
                </pic:pic>
              </a:graphicData>
            </a:graphic>
          </wp:inline>
        </w:drawing>
      </w:r>
    </w:p>
    <w:p w14:paraId="148BD4A4" w14:textId="7F60AE62" w:rsidR="005F7134" w:rsidRPr="009B4325" w:rsidRDefault="009B4325" w:rsidP="009B4325">
      <w:pPr>
        <w:jc w:val="center"/>
        <w:rPr>
          <w:b/>
          <w:bCs/>
          <w:sz w:val="18"/>
          <w:szCs w:val="18"/>
        </w:rPr>
      </w:pPr>
      <w:r w:rsidRPr="009B4325">
        <w:rPr>
          <w:b/>
          <w:bCs/>
          <w:sz w:val="18"/>
          <w:szCs w:val="18"/>
        </w:rPr>
        <w:t>Figure 3: Is It Getting Better? Monthly Trend and Backlog Progression</w:t>
      </w:r>
    </w:p>
    <w:p w14:paraId="6C90976F" w14:textId="6BF9F362" w:rsidR="00846524" w:rsidRDefault="00FA360A">
      <w:pPr>
        <w:pStyle w:val="Heading1"/>
        <w:pBdr>
          <w:bottom w:val="single" w:sz="6" w:space="4" w:color="2E8B7A"/>
        </w:pBdr>
      </w:pPr>
      <w:r>
        <w:t>5. Supporting Data</w:t>
      </w:r>
    </w:p>
    <w:p w14:paraId="020E68B3" w14:textId="77777777" w:rsidR="00846524" w:rsidRDefault="00FA360A">
      <w:pPr>
        <w:pStyle w:val="Heading2"/>
      </w:pPr>
      <w:r>
        <w:t>5.1 Year on Year Summary</w:t>
      </w:r>
    </w:p>
    <w:p w14:paraId="7DD359BD" w14:textId="77777777" w:rsidR="00846524" w:rsidRDefault="008465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46524" w14:paraId="080C10D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3026A924" w14:textId="77777777" w:rsidR="00846524" w:rsidRDefault="00FA360A">
            <w:pPr>
              <w:jc w:val="center"/>
            </w:pPr>
            <w:r>
              <w:rPr>
                <w:b/>
                <w:bCs/>
                <w:color w:val="FFFFFF"/>
                <w:sz w:val="18"/>
                <w:szCs w:val="18"/>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56338FD6" w14:textId="77777777" w:rsidR="00846524" w:rsidRDefault="00FA360A">
            <w:pPr>
              <w:jc w:val="center"/>
            </w:pPr>
            <w:r>
              <w:rPr>
                <w:b/>
                <w:bCs/>
                <w:color w:val="FFFFFF"/>
                <w:sz w:val="18"/>
                <w:szCs w:val="18"/>
              </w:rPr>
              <w:t>Total Patients</w:t>
            </w:r>
          </w:p>
        </w:tc>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1321E2B5" w14:textId="77777777" w:rsidR="00846524" w:rsidRDefault="00FA360A">
            <w:pPr>
              <w:jc w:val="center"/>
            </w:pPr>
            <w:r>
              <w:rPr>
                <w:b/>
                <w:bCs/>
                <w:color w:val="FFFFFF"/>
                <w:sz w:val="18"/>
                <w:szCs w:val="18"/>
              </w:rPr>
              <w:t>Waiting Over 12M</w:t>
            </w:r>
          </w:p>
        </w:tc>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1602E4B1" w14:textId="77777777" w:rsidR="00846524" w:rsidRDefault="00FA360A">
            <w:pPr>
              <w:jc w:val="center"/>
            </w:pPr>
            <w:r>
              <w:rPr>
                <w:b/>
                <w:bCs/>
                <w:color w:val="FFFFFF"/>
                <w:sz w:val="18"/>
                <w:szCs w:val="18"/>
              </w:rPr>
              <w:t>% Over 12 Months</w:t>
            </w:r>
          </w:p>
        </w:tc>
      </w:tr>
      <w:tr w:rsidR="00846524" w14:paraId="274591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F37A9" w14:textId="77777777" w:rsidR="00846524" w:rsidRDefault="00FA360A">
            <w:pPr>
              <w:jc w:val="center"/>
            </w:pPr>
            <w:r>
              <w:rPr>
                <w:color w:val="555555"/>
                <w:sz w:val="18"/>
                <w:szCs w:val="18"/>
              </w:rPr>
              <w:t>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3EA3" w14:textId="77777777" w:rsidR="00846524" w:rsidRDefault="00FA360A">
            <w:pPr>
              <w:jc w:val="center"/>
            </w:pPr>
            <w:r>
              <w:rPr>
                <w:color w:val="555555"/>
                <w:sz w:val="18"/>
                <w:szCs w:val="18"/>
              </w:rPr>
              <w:t>7,105,956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D0CD" w14:textId="77777777" w:rsidR="00846524" w:rsidRDefault="00FA360A">
            <w:pPr>
              <w:jc w:val="center"/>
            </w:pPr>
            <w:r>
              <w:rPr>
                <w:color w:val="555555"/>
                <w:sz w:val="18"/>
                <w:szCs w:val="18"/>
              </w:rPr>
              <w:t>1,629,584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1D4A" w14:textId="77777777" w:rsidR="00846524" w:rsidRDefault="00FA360A">
            <w:pPr>
              <w:jc w:val="center"/>
            </w:pPr>
            <w:r>
              <w:rPr>
                <w:color w:val="555555"/>
                <w:sz w:val="18"/>
                <w:szCs w:val="18"/>
              </w:rPr>
              <w:t>22.93%</w:t>
            </w:r>
          </w:p>
        </w:tc>
      </w:tr>
      <w:tr w:rsidR="00846524" w14:paraId="510A2EB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7D703" w14:textId="77777777" w:rsidR="00846524" w:rsidRDefault="00FA360A">
            <w:pPr>
              <w:jc w:val="center"/>
            </w:pPr>
            <w:r>
              <w:rPr>
                <w:color w:val="555555"/>
                <w:sz w:val="18"/>
                <w:szCs w:val="18"/>
              </w:rPr>
              <w:t>2024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06995" w14:textId="77777777" w:rsidR="00846524" w:rsidRDefault="00FA360A">
            <w:pPr>
              <w:jc w:val="center"/>
            </w:pPr>
            <w:r>
              <w:rPr>
                <w:color w:val="555555"/>
                <w:sz w:val="18"/>
                <w:szCs w:val="18"/>
              </w:rPr>
              <w:t>7,027,520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F2449" w14:textId="77777777" w:rsidR="00846524" w:rsidRDefault="00FA360A">
            <w:pPr>
              <w:jc w:val="center"/>
            </w:pPr>
            <w:r>
              <w:rPr>
                <w:color w:val="555555"/>
                <w:sz w:val="18"/>
                <w:szCs w:val="18"/>
              </w:rPr>
              <w:t>1,246,837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FF657" w14:textId="77777777" w:rsidR="00846524" w:rsidRDefault="00FA360A">
            <w:pPr>
              <w:jc w:val="center"/>
            </w:pPr>
            <w:r>
              <w:rPr>
                <w:color w:val="555555"/>
                <w:sz w:val="18"/>
                <w:szCs w:val="18"/>
              </w:rPr>
              <w:t>17.74%</w:t>
            </w:r>
          </w:p>
        </w:tc>
      </w:tr>
      <w:tr w:rsidR="00846524" w14:paraId="2588ED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EE46C" w14:textId="77777777" w:rsidR="00846524" w:rsidRDefault="00FA360A">
            <w:pPr>
              <w:jc w:val="center"/>
            </w:pPr>
            <w:r>
              <w:rPr>
                <w:color w:val="555555"/>
                <w:sz w:val="18"/>
                <w:szCs w:val="18"/>
              </w:rPr>
              <w:t>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B0B7" w14:textId="77777777" w:rsidR="00846524" w:rsidRDefault="00FA360A">
            <w:pPr>
              <w:jc w:val="center"/>
            </w:pPr>
            <w:r>
              <w:rPr>
                <w:color w:val="555555"/>
                <w:sz w:val="18"/>
                <w:szCs w:val="18"/>
              </w:rPr>
              <w:t>7,225,490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4022" w14:textId="77777777" w:rsidR="00846524" w:rsidRDefault="00FA360A">
            <w:pPr>
              <w:jc w:val="center"/>
            </w:pPr>
            <w:r>
              <w:rPr>
                <w:color w:val="555555"/>
                <w:sz w:val="18"/>
                <w:szCs w:val="18"/>
              </w:rPr>
              <w:t>1,206,557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64886" w14:textId="77777777" w:rsidR="00846524" w:rsidRDefault="00FA360A">
            <w:pPr>
              <w:jc w:val="center"/>
            </w:pPr>
            <w:r>
              <w:rPr>
                <w:color w:val="555555"/>
                <w:sz w:val="18"/>
                <w:szCs w:val="18"/>
              </w:rPr>
              <w:t>16.70%</w:t>
            </w:r>
          </w:p>
        </w:tc>
      </w:tr>
    </w:tbl>
    <w:p w14:paraId="10F945A3" w14:textId="77777777" w:rsidR="00846524" w:rsidRDefault="00846524">
      <w:pPr>
        <w:spacing w:before="200"/>
      </w:pPr>
    </w:p>
    <w:p w14:paraId="45F144DF" w14:textId="77777777" w:rsidR="00846524" w:rsidRDefault="00FA360A">
      <w:pPr>
        <w:pStyle w:val="Heading2"/>
      </w:pPr>
      <w:r>
        <w:t>5.2 Adults vs Children — 18+ Month Wait Rates</w:t>
      </w:r>
    </w:p>
    <w:p w14:paraId="53EC03DD" w14:textId="77777777" w:rsidR="00846524" w:rsidRDefault="008465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46524" w14:paraId="463BCC3D"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205D21DC" w14:textId="77777777" w:rsidR="00846524" w:rsidRDefault="00FA360A">
            <w:pPr>
              <w:jc w:val="center"/>
            </w:pPr>
            <w:r>
              <w:rPr>
                <w:b/>
                <w:bCs/>
                <w:color w:val="FFFFFF"/>
                <w:sz w:val="18"/>
                <w:szCs w:val="18"/>
              </w:rPr>
              <w:t>Group</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2FE8AFF7" w14:textId="77777777" w:rsidR="00846524" w:rsidRDefault="00FA360A">
            <w:pPr>
              <w:jc w:val="center"/>
            </w:pPr>
            <w:r>
              <w:rPr>
                <w:b/>
                <w:bCs/>
                <w:color w:val="FFFFFF"/>
                <w:sz w:val="18"/>
                <w:szCs w:val="18"/>
              </w:rPr>
              <w:t>2023 (%)</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0CB375AB" w14:textId="77777777" w:rsidR="00846524" w:rsidRDefault="00FA360A">
            <w:pPr>
              <w:jc w:val="center"/>
            </w:pPr>
            <w:r>
              <w:rPr>
                <w:b/>
                <w:bCs/>
                <w:color w:val="FFFFFF"/>
                <w:sz w:val="18"/>
                <w:szCs w:val="18"/>
              </w:rPr>
              <w:t>2024 (%)</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5BB5D9EA" w14:textId="77777777" w:rsidR="00846524" w:rsidRDefault="00FA360A">
            <w:pPr>
              <w:jc w:val="center"/>
            </w:pPr>
            <w:r>
              <w:rPr>
                <w:b/>
                <w:bCs/>
                <w:color w:val="FFFFFF"/>
                <w:sz w:val="18"/>
                <w:szCs w:val="18"/>
              </w:rPr>
              <w:t>2025 (%)</w:t>
            </w:r>
          </w:p>
        </w:tc>
        <w:tc>
          <w:tcPr>
            <w:tcW w:w="1872"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6A75DA12" w14:textId="77777777" w:rsidR="00846524" w:rsidRDefault="00FA360A">
            <w:pPr>
              <w:jc w:val="center"/>
            </w:pPr>
            <w:r>
              <w:rPr>
                <w:b/>
                <w:bCs/>
                <w:color w:val="FFFFFF"/>
                <w:sz w:val="18"/>
                <w:szCs w:val="18"/>
              </w:rPr>
              <w:t>Trend</w:t>
            </w:r>
          </w:p>
        </w:tc>
      </w:tr>
      <w:tr w:rsidR="00846524" w14:paraId="3F53ECB3"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28FB" w14:textId="77777777" w:rsidR="00846524" w:rsidRDefault="00FA360A">
            <w:pPr>
              <w:jc w:val="center"/>
            </w:pPr>
            <w:r>
              <w:rPr>
                <w:color w:val="555555"/>
                <w:sz w:val="18"/>
                <w:szCs w:val="18"/>
              </w:rPr>
              <w:t>Adult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C29CF" w14:textId="77777777" w:rsidR="00846524" w:rsidRDefault="00FA360A">
            <w:pPr>
              <w:jc w:val="center"/>
            </w:pPr>
            <w:r>
              <w:rPr>
                <w:color w:val="555555"/>
                <w:sz w:val="18"/>
                <w:szCs w:val="18"/>
              </w:rPr>
              <w:t>13.40%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B128" w14:textId="77777777" w:rsidR="00846524" w:rsidRDefault="00FA360A">
            <w:pPr>
              <w:jc w:val="center"/>
            </w:pPr>
            <w:r>
              <w:rPr>
                <w:color w:val="555555"/>
                <w:sz w:val="18"/>
                <w:szCs w:val="18"/>
              </w:rPr>
              <w:t>8.65%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525E5" w14:textId="77777777" w:rsidR="00846524" w:rsidRDefault="00FA360A">
            <w:pPr>
              <w:jc w:val="center"/>
            </w:pPr>
            <w:r>
              <w:rPr>
                <w:color w:val="555555"/>
                <w:sz w:val="18"/>
                <w:szCs w:val="18"/>
              </w:rPr>
              <w:t>7.32%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9E46" w14:textId="77777777" w:rsidR="00846524" w:rsidRDefault="00FA360A">
            <w:pPr>
              <w:jc w:val="center"/>
            </w:pPr>
            <w:r>
              <w:rPr>
                <w:color w:val="555555"/>
                <w:sz w:val="18"/>
                <w:szCs w:val="18"/>
              </w:rPr>
              <w:t>↓ Improving</w:t>
            </w:r>
          </w:p>
        </w:tc>
      </w:tr>
      <w:tr w:rsidR="00846524" w14:paraId="0BF0B5C2" w14:textId="77777777">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C5FE1" w14:textId="77777777" w:rsidR="00846524" w:rsidRDefault="00FA360A">
            <w:pPr>
              <w:jc w:val="center"/>
            </w:pPr>
            <w:r>
              <w:rPr>
                <w:color w:val="555555"/>
                <w:sz w:val="18"/>
                <w:szCs w:val="18"/>
              </w:rPr>
              <w:t>Child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6EDD8" w14:textId="77777777" w:rsidR="00846524" w:rsidRDefault="00FA360A">
            <w:pPr>
              <w:jc w:val="center"/>
            </w:pPr>
            <w:r>
              <w:rPr>
                <w:color w:val="555555"/>
                <w:sz w:val="18"/>
                <w:szCs w:val="18"/>
              </w:rPr>
              <w:t>11.28%</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F264C" w14:textId="77777777" w:rsidR="00846524" w:rsidRDefault="00FA360A">
            <w:pPr>
              <w:jc w:val="center"/>
            </w:pPr>
            <w:r>
              <w:rPr>
                <w:color w:val="555555"/>
                <w:sz w:val="18"/>
                <w:szCs w:val="18"/>
              </w:rPr>
              <w:t>8.87%</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D1F9B" w14:textId="77777777" w:rsidR="00846524" w:rsidRDefault="00FA360A">
            <w:pPr>
              <w:jc w:val="center"/>
            </w:pPr>
            <w:r>
              <w:rPr>
                <w:color w:val="555555"/>
                <w:sz w:val="18"/>
                <w:szCs w:val="18"/>
              </w:rPr>
              <w:t>8.23%</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249A9" w14:textId="77777777" w:rsidR="00846524" w:rsidRDefault="00FA360A">
            <w:pPr>
              <w:jc w:val="center"/>
            </w:pPr>
            <w:r>
              <w:rPr>
                <w:color w:val="555555"/>
                <w:sz w:val="18"/>
                <w:szCs w:val="18"/>
              </w:rPr>
              <w:t>↓ Improving Slowly</w:t>
            </w:r>
          </w:p>
        </w:tc>
      </w:tr>
    </w:tbl>
    <w:p w14:paraId="2C799364" w14:textId="77777777" w:rsidR="00846524" w:rsidRDefault="00846524">
      <w:pPr>
        <w:spacing w:before="200"/>
      </w:pPr>
    </w:p>
    <w:p w14:paraId="4F183AD8" w14:textId="77777777" w:rsidR="00846524" w:rsidRDefault="00FA360A">
      <w:pPr>
        <w:pStyle w:val="Heading2"/>
      </w:pPr>
      <w:r>
        <w:t>5.3 Top 10 Adult Specialties by Volume</w:t>
      </w:r>
    </w:p>
    <w:p w14:paraId="6F96504D" w14:textId="77777777" w:rsidR="00846524" w:rsidRDefault="008465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46524" w14:paraId="2F96B6F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74938006" w14:textId="77777777" w:rsidR="00846524" w:rsidRDefault="00FA360A">
            <w:pPr>
              <w:jc w:val="center"/>
            </w:pPr>
            <w:r>
              <w:rPr>
                <w:b/>
                <w:bCs/>
                <w:color w:val="FFFFFF"/>
                <w:sz w:val="18"/>
                <w:szCs w:val="18"/>
              </w:rPr>
              <w:t>Specialty</w:t>
            </w:r>
          </w:p>
        </w:tc>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59A34F4E" w14:textId="77777777" w:rsidR="00846524" w:rsidRDefault="00FA360A">
            <w:pPr>
              <w:jc w:val="center"/>
            </w:pPr>
            <w:r>
              <w:rPr>
                <w:b/>
                <w:bCs/>
                <w:color w:val="FFFFFF"/>
                <w:sz w:val="18"/>
                <w:szCs w:val="18"/>
              </w:rPr>
              <w:t>Total Patients</w:t>
            </w:r>
          </w:p>
        </w:tc>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6926372E" w14:textId="77777777" w:rsidR="00846524" w:rsidRDefault="00FA360A">
            <w:pPr>
              <w:jc w:val="center"/>
            </w:pPr>
            <w:r>
              <w:rPr>
                <w:b/>
                <w:bCs/>
                <w:color w:val="FFFFFF"/>
                <w:sz w:val="18"/>
                <w:szCs w:val="18"/>
              </w:rPr>
              <w:t>18+ Month Waiters</w:t>
            </w:r>
          </w:p>
        </w:tc>
        <w:tc>
          <w:tcPr>
            <w:tcW w:w="2340" w:type="dxa"/>
            <w:tcBorders>
              <w:top w:val="single" w:sz="1" w:space="0" w:color="CCCCCC"/>
              <w:left w:val="single" w:sz="1" w:space="0" w:color="CCCCCC"/>
              <w:bottom w:val="single" w:sz="1" w:space="0" w:color="CCCCCC"/>
              <w:right w:val="single" w:sz="1" w:space="0" w:color="CCCCCC"/>
            </w:tcBorders>
            <w:shd w:val="clear" w:color="auto" w:fill="2E8B7A"/>
            <w:tcMar>
              <w:top w:w="80" w:type="dxa"/>
              <w:left w:w="120" w:type="dxa"/>
              <w:bottom w:w="80" w:type="dxa"/>
              <w:right w:w="120" w:type="dxa"/>
            </w:tcMar>
          </w:tcPr>
          <w:p w14:paraId="7A1FC35D" w14:textId="77777777" w:rsidR="00846524" w:rsidRDefault="00FA360A">
            <w:pPr>
              <w:jc w:val="center"/>
            </w:pPr>
            <w:r>
              <w:rPr>
                <w:b/>
                <w:bCs/>
                <w:color w:val="FFFFFF"/>
                <w:sz w:val="18"/>
                <w:szCs w:val="18"/>
              </w:rPr>
              <w:t>% Waiting 18M+</w:t>
            </w:r>
          </w:p>
        </w:tc>
      </w:tr>
      <w:tr w:rsidR="00846524" w14:paraId="242EE29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58555" w14:textId="77777777" w:rsidR="00846524" w:rsidRDefault="00FA360A">
            <w:pPr>
              <w:jc w:val="center"/>
            </w:pPr>
            <w:r>
              <w:rPr>
                <w:color w:val="555555"/>
                <w:sz w:val="18"/>
                <w:szCs w:val="18"/>
              </w:rPr>
              <w:t>Orthopaedics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EDCA" w14:textId="77777777" w:rsidR="00846524" w:rsidRDefault="00FA360A">
            <w:pPr>
              <w:jc w:val="center"/>
            </w:pPr>
            <w:r>
              <w:rPr>
                <w:color w:val="555555"/>
                <w:sz w:val="18"/>
                <w:szCs w:val="18"/>
              </w:rPr>
              <w:t>2,348,047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7250B" w14:textId="77777777" w:rsidR="00846524" w:rsidRDefault="00FA360A">
            <w:pPr>
              <w:jc w:val="center"/>
            </w:pPr>
            <w:r>
              <w:rPr>
                <w:color w:val="555555"/>
                <w:sz w:val="18"/>
                <w:szCs w:val="18"/>
              </w:rPr>
              <w:t>164,949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D57D" w14:textId="77777777" w:rsidR="00846524" w:rsidRDefault="00FA360A">
            <w:pPr>
              <w:jc w:val="center"/>
            </w:pPr>
            <w:r>
              <w:rPr>
                <w:color w:val="555555"/>
                <w:sz w:val="18"/>
                <w:szCs w:val="18"/>
              </w:rPr>
              <w:t>7.02%</w:t>
            </w:r>
          </w:p>
        </w:tc>
      </w:tr>
      <w:tr w:rsidR="00846524" w14:paraId="608474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8A8CE" w14:textId="77777777" w:rsidR="00846524" w:rsidRDefault="00FA360A">
            <w:pPr>
              <w:jc w:val="center"/>
            </w:pPr>
            <w:r>
              <w:rPr>
                <w:color w:val="555555"/>
                <w:sz w:val="18"/>
                <w:szCs w:val="18"/>
              </w:rPr>
              <w:t>Dermatology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0C5C6" w14:textId="77777777" w:rsidR="00846524" w:rsidRDefault="00FA360A">
            <w:pPr>
              <w:jc w:val="center"/>
            </w:pPr>
            <w:r>
              <w:rPr>
                <w:color w:val="555555"/>
                <w:sz w:val="18"/>
                <w:szCs w:val="18"/>
              </w:rPr>
              <w:t>1,840,937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FF5B9" w14:textId="77777777" w:rsidR="00846524" w:rsidRDefault="00FA360A">
            <w:pPr>
              <w:jc w:val="center"/>
            </w:pPr>
            <w:r>
              <w:rPr>
                <w:color w:val="555555"/>
                <w:sz w:val="18"/>
                <w:szCs w:val="18"/>
              </w:rPr>
              <w:t>219,774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2AE46" w14:textId="77777777" w:rsidR="00846524" w:rsidRDefault="00FA360A">
            <w:pPr>
              <w:jc w:val="center"/>
            </w:pPr>
            <w:r>
              <w:rPr>
                <w:color w:val="555555"/>
                <w:sz w:val="18"/>
                <w:szCs w:val="18"/>
              </w:rPr>
              <w:t>11.94%</w:t>
            </w:r>
          </w:p>
        </w:tc>
      </w:tr>
      <w:tr w:rsidR="00846524" w14:paraId="1F17F3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6C07" w14:textId="77777777" w:rsidR="00846524" w:rsidRDefault="00FA360A">
            <w:pPr>
              <w:jc w:val="center"/>
            </w:pPr>
            <w:r>
              <w:rPr>
                <w:color w:val="555555"/>
                <w:sz w:val="18"/>
                <w:szCs w:val="18"/>
              </w:rPr>
              <w:lastRenderedPageBreak/>
              <w:t>Cardiology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D26CD" w14:textId="77777777" w:rsidR="00846524" w:rsidRDefault="00FA360A">
            <w:pPr>
              <w:jc w:val="center"/>
            </w:pPr>
            <w:r>
              <w:rPr>
                <w:color w:val="555555"/>
                <w:sz w:val="18"/>
                <w:szCs w:val="18"/>
              </w:rPr>
              <w:t>1,372,958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73A5" w14:textId="77777777" w:rsidR="00846524" w:rsidRDefault="00FA360A">
            <w:pPr>
              <w:jc w:val="center"/>
            </w:pPr>
            <w:r>
              <w:rPr>
                <w:color w:val="555555"/>
                <w:sz w:val="18"/>
                <w:szCs w:val="18"/>
              </w:rPr>
              <w:t>64,852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4D5F" w14:textId="77777777" w:rsidR="00846524" w:rsidRDefault="00FA360A">
            <w:pPr>
              <w:jc w:val="center"/>
            </w:pPr>
            <w:r>
              <w:rPr>
                <w:color w:val="555555"/>
                <w:sz w:val="18"/>
                <w:szCs w:val="18"/>
              </w:rPr>
              <w:t>4.72%</w:t>
            </w:r>
          </w:p>
        </w:tc>
      </w:tr>
      <w:tr w:rsidR="00846524" w14:paraId="54C453E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47179" w14:textId="77777777" w:rsidR="00846524" w:rsidRDefault="00FA360A">
            <w:pPr>
              <w:jc w:val="center"/>
            </w:pPr>
            <w:r>
              <w:rPr>
                <w:color w:val="555555"/>
                <w:sz w:val="18"/>
                <w:szCs w:val="18"/>
              </w:rPr>
              <w:t>Otolaryngology (ENT)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22D35" w14:textId="77777777" w:rsidR="00846524" w:rsidRDefault="00FA360A">
            <w:pPr>
              <w:jc w:val="center"/>
            </w:pPr>
            <w:r>
              <w:rPr>
                <w:color w:val="555555"/>
                <w:sz w:val="18"/>
                <w:szCs w:val="18"/>
              </w:rPr>
              <w:t>1,314,920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D4D01" w14:textId="77777777" w:rsidR="00846524" w:rsidRDefault="00FA360A">
            <w:pPr>
              <w:jc w:val="center"/>
            </w:pPr>
            <w:r>
              <w:rPr>
                <w:color w:val="555555"/>
                <w:sz w:val="18"/>
                <w:szCs w:val="18"/>
              </w:rPr>
              <w:t>146,870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FF7DB" w14:textId="77777777" w:rsidR="00846524" w:rsidRDefault="00FA360A">
            <w:pPr>
              <w:jc w:val="center"/>
            </w:pPr>
            <w:r>
              <w:rPr>
                <w:color w:val="555555"/>
                <w:sz w:val="18"/>
                <w:szCs w:val="18"/>
              </w:rPr>
              <w:t>11.17%</w:t>
            </w:r>
          </w:p>
        </w:tc>
      </w:tr>
      <w:tr w:rsidR="00846524" w14:paraId="370B1B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328AC" w14:textId="77777777" w:rsidR="00846524" w:rsidRDefault="00FA360A">
            <w:pPr>
              <w:jc w:val="center"/>
            </w:pPr>
            <w:r>
              <w:rPr>
                <w:color w:val="555555"/>
                <w:sz w:val="18"/>
                <w:szCs w:val="18"/>
              </w:rPr>
              <w:t>Ophthalmology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C15F7" w14:textId="77777777" w:rsidR="00846524" w:rsidRDefault="00FA360A">
            <w:pPr>
              <w:jc w:val="center"/>
            </w:pPr>
            <w:r>
              <w:rPr>
                <w:color w:val="555555"/>
                <w:sz w:val="18"/>
                <w:szCs w:val="18"/>
              </w:rPr>
              <w:t>1,247,272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8982" w14:textId="77777777" w:rsidR="00846524" w:rsidRDefault="00FA360A">
            <w:pPr>
              <w:jc w:val="center"/>
            </w:pPr>
            <w:r>
              <w:rPr>
                <w:color w:val="555555"/>
                <w:sz w:val="18"/>
                <w:szCs w:val="18"/>
              </w:rPr>
              <w:t>194,262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25D5" w14:textId="77777777" w:rsidR="00846524" w:rsidRDefault="00FA360A">
            <w:pPr>
              <w:jc w:val="center"/>
            </w:pPr>
            <w:r>
              <w:rPr>
                <w:color w:val="555555"/>
                <w:sz w:val="18"/>
                <w:szCs w:val="18"/>
              </w:rPr>
              <w:t>15.57%</w:t>
            </w:r>
          </w:p>
        </w:tc>
      </w:tr>
      <w:tr w:rsidR="00846524" w14:paraId="72693C27"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C820E" w14:textId="77777777" w:rsidR="00846524" w:rsidRDefault="00FA360A">
            <w:pPr>
              <w:jc w:val="center"/>
            </w:pPr>
            <w:r>
              <w:rPr>
                <w:color w:val="555555"/>
                <w:sz w:val="18"/>
                <w:szCs w:val="18"/>
              </w:rPr>
              <w:t>General Surgery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635C5" w14:textId="77777777" w:rsidR="00846524" w:rsidRDefault="00FA360A">
            <w:pPr>
              <w:jc w:val="center"/>
            </w:pPr>
            <w:r>
              <w:rPr>
                <w:color w:val="555555"/>
                <w:sz w:val="18"/>
                <w:szCs w:val="18"/>
              </w:rPr>
              <w:t>1,190,039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98282" w14:textId="77777777" w:rsidR="00846524" w:rsidRDefault="00FA360A">
            <w:pPr>
              <w:jc w:val="center"/>
            </w:pPr>
            <w:r>
              <w:rPr>
                <w:color w:val="555555"/>
                <w:sz w:val="18"/>
                <w:szCs w:val="18"/>
              </w:rPr>
              <w:t>25,905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09B0D" w14:textId="77777777" w:rsidR="00846524" w:rsidRDefault="00FA360A">
            <w:pPr>
              <w:jc w:val="center"/>
            </w:pPr>
            <w:r>
              <w:rPr>
                <w:color w:val="555555"/>
                <w:sz w:val="18"/>
                <w:szCs w:val="18"/>
              </w:rPr>
              <w:t>2.18%</w:t>
            </w:r>
          </w:p>
        </w:tc>
      </w:tr>
      <w:tr w:rsidR="00846524" w14:paraId="5B19E8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9CE1" w14:textId="77777777" w:rsidR="00846524" w:rsidRDefault="00FA360A">
            <w:pPr>
              <w:jc w:val="center"/>
            </w:pPr>
            <w:r>
              <w:rPr>
                <w:color w:val="555555"/>
                <w:sz w:val="18"/>
                <w:szCs w:val="18"/>
              </w:rPr>
              <w:t>Gynaecology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2F32" w14:textId="77777777" w:rsidR="00846524" w:rsidRDefault="00FA360A">
            <w:pPr>
              <w:jc w:val="center"/>
            </w:pPr>
            <w:r>
              <w:rPr>
                <w:color w:val="555555"/>
                <w:sz w:val="18"/>
                <w:szCs w:val="18"/>
              </w:rPr>
              <w:t>1,088,398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F4145" w14:textId="77777777" w:rsidR="00846524" w:rsidRDefault="00FA360A">
            <w:pPr>
              <w:jc w:val="center"/>
            </w:pPr>
            <w:r>
              <w:rPr>
                <w:color w:val="555555"/>
                <w:sz w:val="18"/>
                <w:szCs w:val="18"/>
              </w:rPr>
              <w:t>20,604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BF12" w14:textId="77777777" w:rsidR="00846524" w:rsidRDefault="00FA360A">
            <w:pPr>
              <w:jc w:val="center"/>
            </w:pPr>
            <w:r>
              <w:rPr>
                <w:color w:val="555555"/>
                <w:sz w:val="18"/>
                <w:szCs w:val="18"/>
              </w:rPr>
              <w:t>1.89%</w:t>
            </w:r>
          </w:p>
        </w:tc>
      </w:tr>
      <w:tr w:rsidR="00846524" w14:paraId="58BE05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B99AF" w14:textId="77777777" w:rsidR="00846524" w:rsidRDefault="00FA360A">
            <w:pPr>
              <w:jc w:val="center"/>
            </w:pPr>
            <w:r>
              <w:rPr>
                <w:color w:val="555555"/>
                <w:sz w:val="18"/>
                <w:szCs w:val="18"/>
              </w:rPr>
              <w:t>Respiratory Medicine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378FC" w14:textId="77777777" w:rsidR="00846524" w:rsidRDefault="00FA360A">
            <w:pPr>
              <w:jc w:val="center"/>
            </w:pPr>
            <w:r>
              <w:rPr>
                <w:color w:val="555555"/>
                <w:sz w:val="18"/>
                <w:szCs w:val="18"/>
              </w:rPr>
              <w:t>840,986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52E0C" w14:textId="77777777" w:rsidR="00846524" w:rsidRDefault="00FA360A">
            <w:pPr>
              <w:jc w:val="center"/>
            </w:pPr>
            <w:r>
              <w:rPr>
                <w:color w:val="555555"/>
                <w:sz w:val="18"/>
                <w:szCs w:val="18"/>
              </w:rPr>
              <w:t>85,398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4354F" w14:textId="77777777" w:rsidR="00846524" w:rsidRDefault="00FA360A">
            <w:pPr>
              <w:jc w:val="center"/>
            </w:pPr>
            <w:r>
              <w:rPr>
                <w:color w:val="555555"/>
                <w:sz w:val="18"/>
                <w:szCs w:val="18"/>
              </w:rPr>
              <w:t>10.15%</w:t>
            </w:r>
          </w:p>
        </w:tc>
      </w:tr>
      <w:tr w:rsidR="00846524" w14:paraId="61D6E9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EEAAB" w14:textId="77777777" w:rsidR="00846524" w:rsidRDefault="00FA360A">
            <w:pPr>
              <w:jc w:val="center"/>
            </w:pPr>
            <w:r>
              <w:rPr>
                <w:color w:val="555555"/>
                <w:sz w:val="18"/>
                <w:szCs w:val="18"/>
              </w:rPr>
              <w:t>Urology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475C" w14:textId="77777777" w:rsidR="00846524" w:rsidRDefault="00FA360A">
            <w:pPr>
              <w:jc w:val="center"/>
            </w:pPr>
            <w:r>
              <w:rPr>
                <w:color w:val="555555"/>
                <w:sz w:val="18"/>
                <w:szCs w:val="18"/>
              </w:rPr>
              <w:t>836,524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78D3" w14:textId="77777777" w:rsidR="00846524" w:rsidRDefault="00FA360A">
            <w:pPr>
              <w:jc w:val="center"/>
            </w:pPr>
            <w:r>
              <w:rPr>
                <w:color w:val="555555"/>
                <w:sz w:val="18"/>
                <w:szCs w:val="18"/>
              </w:rPr>
              <w:t>81,717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1FC7" w14:textId="77777777" w:rsidR="00846524" w:rsidRDefault="00FA360A">
            <w:pPr>
              <w:jc w:val="center"/>
            </w:pPr>
            <w:r>
              <w:rPr>
                <w:color w:val="555555"/>
                <w:sz w:val="18"/>
                <w:szCs w:val="18"/>
              </w:rPr>
              <w:t>9.77%</w:t>
            </w:r>
          </w:p>
        </w:tc>
      </w:tr>
      <w:tr w:rsidR="00846524" w14:paraId="0BB524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7E781" w14:textId="77777777" w:rsidR="00846524" w:rsidRDefault="00FA360A">
            <w:pPr>
              <w:jc w:val="center"/>
            </w:pPr>
            <w:r>
              <w:rPr>
                <w:color w:val="555555"/>
                <w:sz w:val="18"/>
                <w:szCs w:val="18"/>
              </w:rPr>
              <w:t>Neurology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8E76E" w14:textId="77777777" w:rsidR="00846524" w:rsidRDefault="00FA360A">
            <w:pPr>
              <w:jc w:val="center"/>
            </w:pPr>
            <w:r>
              <w:rPr>
                <w:color w:val="555555"/>
                <w:sz w:val="18"/>
                <w:szCs w:val="18"/>
              </w:rPr>
              <w:t>808,470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316D7" w14:textId="77777777" w:rsidR="00846524" w:rsidRDefault="00FA360A">
            <w:pPr>
              <w:jc w:val="center"/>
            </w:pPr>
            <w:r>
              <w:rPr>
                <w:color w:val="555555"/>
                <w:sz w:val="18"/>
                <w:szCs w:val="18"/>
              </w:rPr>
              <w:t>130,409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01292" w14:textId="77777777" w:rsidR="00846524" w:rsidRDefault="00FA360A">
            <w:pPr>
              <w:jc w:val="center"/>
            </w:pPr>
            <w:r>
              <w:rPr>
                <w:color w:val="555555"/>
                <w:sz w:val="18"/>
                <w:szCs w:val="18"/>
              </w:rPr>
              <w:t>16.13%</w:t>
            </w:r>
          </w:p>
        </w:tc>
      </w:tr>
    </w:tbl>
    <w:p w14:paraId="3F35360E" w14:textId="77777777" w:rsidR="00846524" w:rsidRDefault="00846524">
      <w:pPr>
        <w:spacing w:before="200"/>
      </w:pPr>
    </w:p>
    <w:p w14:paraId="7767926C" w14:textId="77777777" w:rsidR="00846524" w:rsidRDefault="00FA360A">
      <w:pPr>
        <w:pStyle w:val="Heading1"/>
        <w:pBdr>
          <w:bottom w:val="single" w:sz="6" w:space="4" w:color="2E8B7A"/>
        </w:pBdr>
      </w:pPr>
      <w:r>
        <w:t>6. Recommendations</w:t>
      </w:r>
    </w:p>
    <w:p w14:paraId="75171A86" w14:textId="1261859D" w:rsidR="00FE4797" w:rsidRDefault="00FA360A" w:rsidP="00FE4797">
      <w:pPr>
        <w:spacing w:before="80" w:after="120" w:line="320" w:lineRule="auto"/>
        <w:jc w:val="both"/>
        <w:rPr>
          <w:color w:val="555555"/>
        </w:rPr>
      </w:pPr>
      <w:r>
        <w:rPr>
          <w:color w:val="555555"/>
        </w:rPr>
        <w:t>Based on the findings of this analysis, three recommendations are proposed for consideration by the HSE and the Department of Health.</w:t>
      </w:r>
    </w:p>
    <w:p w14:paraId="02A89B3F" w14:textId="77777777" w:rsidR="00FE4797" w:rsidRDefault="00FE4797" w:rsidP="00FE4797">
      <w:pPr>
        <w:spacing w:before="80" w:after="120" w:line="320" w:lineRule="auto"/>
        <w:jc w:val="both"/>
      </w:pPr>
    </w:p>
    <w:p w14:paraId="65BF3C06" w14:textId="77777777" w:rsidR="00846524" w:rsidRDefault="00FA360A">
      <w:pPr>
        <w:pStyle w:val="Heading2"/>
      </w:pPr>
      <w:r>
        <w:t>Recommendation 1: Renew Investment in the 18+ Month Backlog</w:t>
      </w:r>
    </w:p>
    <w:p w14:paraId="746EA27F" w14:textId="77777777" w:rsidR="00846524" w:rsidRDefault="00FA360A">
      <w:pPr>
        <w:spacing w:before="80" w:after="120" w:line="320" w:lineRule="auto"/>
        <w:jc w:val="both"/>
      </w:pPr>
      <w:r>
        <w:rPr>
          <w:color w:val="555555"/>
        </w:rPr>
        <w:t>The plateau in 18+ month waiters throughout 2025 suggests that the current level of outsourcing and insourcing activity is insufficient to drive further reductions. The NTPF and HSE should review which specialties have responded well to outsourcing (such as Ophthalmology) and increase targeted investment in those that have not, particularly Neurology and Endocrinology.</w:t>
      </w:r>
    </w:p>
    <w:p w14:paraId="535CC6B1" w14:textId="77777777" w:rsidR="00846524" w:rsidRDefault="00846524">
      <w:pPr>
        <w:spacing w:before="80"/>
      </w:pPr>
    </w:p>
    <w:p w14:paraId="293F4526" w14:textId="77777777" w:rsidR="00846524" w:rsidRDefault="00FA360A">
      <w:pPr>
        <w:pStyle w:val="Heading2"/>
      </w:pPr>
      <w:r>
        <w:t>Recommendation 2: Develop a Dedicated Paediatric Waiting List Strategy</w:t>
      </w:r>
    </w:p>
    <w:p w14:paraId="7B4C9C44" w14:textId="77777777" w:rsidR="00846524" w:rsidRDefault="00FA360A">
      <w:pPr>
        <w:spacing w:before="80" w:after="120" w:line="320" w:lineRule="auto"/>
        <w:jc w:val="both"/>
      </w:pPr>
      <w:r>
        <w:rPr>
          <w:color w:val="555555"/>
        </w:rPr>
        <w:t>Children are now proportionally worse off than adults for long waits, with eight of the fifteen most affected specialties being children’s services. A dedicated action plan for paediatric outpatient waiting lists should be developed, with specific targets for Rheumatology, Developmental Paediatrics, and Paediatric Dermatology where critical wait rates exceed 30%.</w:t>
      </w:r>
    </w:p>
    <w:p w14:paraId="4513D843" w14:textId="77777777" w:rsidR="00846524" w:rsidRDefault="00846524">
      <w:pPr>
        <w:spacing w:before="80"/>
      </w:pPr>
    </w:p>
    <w:p w14:paraId="255C4A0C" w14:textId="77777777" w:rsidR="00846524" w:rsidRDefault="00FA360A">
      <w:pPr>
        <w:pStyle w:val="Heading2"/>
      </w:pPr>
      <w:r>
        <w:t>Recommendation 3: Focus on Severity, Not Just Volume</w:t>
      </w:r>
    </w:p>
    <w:p w14:paraId="4928C973" w14:textId="3D896300" w:rsidR="00846524" w:rsidRDefault="00FA360A" w:rsidP="004A004E">
      <w:pPr>
        <w:spacing w:before="80" w:after="120" w:line="320" w:lineRule="auto"/>
        <w:jc w:val="both"/>
      </w:pPr>
      <w:r>
        <w:rPr>
          <w:color w:val="555555"/>
        </w:rPr>
        <w:t xml:space="preserve">Current reporting and public discourse </w:t>
      </w:r>
      <w:proofErr w:type="gramStart"/>
      <w:r>
        <w:rPr>
          <w:color w:val="555555"/>
        </w:rPr>
        <w:t>tends</w:t>
      </w:r>
      <w:proofErr w:type="gramEnd"/>
      <w:r>
        <w:rPr>
          <w:color w:val="555555"/>
        </w:rPr>
        <w:t xml:space="preserve"> to focus on the total number of patients on waiting lists. This analysis shows that the severity of waits — the proportion waiting over 12 or 18 months — is a more meaningful indicator of patient harm. The NTPF and Department of Health should adopt severity-weighted metrics as primary performance indicators in the Waiting List Action Plan 2026.</w:t>
      </w:r>
    </w:p>
    <w:p w14:paraId="3CC5276E" w14:textId="77777777" w:rsidR="00846524" w:rsidRDefault="00FA360A">
      <w:pPr>
        <w:pStyle w:val="Heading1"/>
        <w:pBdr>
          <w:bottom w:val="single" w:sz="6" w:space="4" w:color="2E8B7A"/>
        </w:pBdr>
      </w:pPr>
      <w:r>
        <w:lastRenderedPageBreak/>
        <w:t>7. Limitations</w:t>
      </w:r>
    </w:p>
    <w:p w14:paraId="72867AF4" w14:textId="77777777" w:rsidR="00846524" w:rsidRDefault="00FA360A">
      <w:pPr>
        <w:pStyle w:val="ListParagraph"/>
        <w:numPr>
          <w:ilvl w:val="0"/>
          <w:numId w:val="2"/>
        </w:numPr>
        <w:spacing w:before="60" w:after="60" w:line="300" w:lineRule="auto"/>
      </w:pPr>
      <w:r>
        <w:rPr>
          <w:color w:val="555555"/>
        </w:rPr>
        <w:t>This analysis covers outpatient waiting lists only. Inpatient, day case and GI endoscopy lists are not included and may tell a different story.</w:t>
      </w:r>
    </w:p>
    <w:p w14:paraId="2C27D43C" w14:textId="77777777" w:rsidR="00846524" w:rsidRDefault="00FA360A">
      <w:pPr>
        <w:pStyle w:val="ListParagraph"/>
        <w:numPr>
          <w:ilvl w:val="0"/>
          <w:numId w:val="2"/>
        </w:numPr>
        <w:spacing w:before="60" w:after="60" w:line="300" w:lineRule="auto"/>
      </w:pPr>
      <w:r>
        <w:rPr>
          <w:color w:val="555555"/>
        </w:rPr>
        <w:t>A small number of specialties changed between years (64 in 2023, 61 in 2025), meaning some comparisons across the full three-year period are based on 58 consistent specialties only.</w:t>
      </w:r>
    </w:p>
    <w:p w14:paraId="0F05C35D" w14:textId="77777777" w:rsidR="00846524" w:rsidRDefault="00FA360A">
      <w:pPr>
        <w:pStyle w:val="ListParagraph"/>
        <w:numPr>
          <w:ilvl w:val="0"/>
          <w:numId w:val="2"/>
        </w:numPr>
        <w:spacing w:before="60" w:after="60" w:line="300" w:lineRule="auto"/>
      </w:pPr>
      <w:r>
        <w:rPr>
          <w:color w:val="555555"/>
        </w:rPr>
        <w:t>The data does not include information on patient outcomes, clinical urgency, or the reason for each wait. Two patients in the same time band may have very different levels of need.</w:t>
      </w:r>
    </w:p>
    <w:p w14:paraId="6B2477C9" w14:textId="77777777" w:rsidR="00846524" w:rsidRDefault="00FA360A">
      <w:pPr>
        <w:pStyle w:val="ListParagraph"/>
        <w:numPr>
          <w:ilvl w:val="0"/>
          <w:numId w:val="2"/>
        </w:numPr>
        <w:spacing w:before="60" w:after="60" w:line="300" w:lineRule="auto"/>
      </w:pPr>
      <w:r>
        <w:rPr>
          <w:color w:val="555555"/>
        </w:rPr>
        <w:t>NTPF spending and outsourcing volumes were not available in structured format and could not be incorporated into this analysis. Including this data in a future version would strengthen the ROI findings.</w:t>
      </w:r>
    </w:p>
    <w:p w14:paraId="71145247" w14:textId="77777777" w:rsidR="00846524" w:rsidRDefault="00FA360A">
      <w:pPr>
        <w:pStyle w:val="ListParagraph"/>
        <w:numPr>
          <w:ilvl w:val="0"/>
          <w:numId w:val="2"/>
        </w:numPr>
        <w:spacing w:before="60" w:after="60" w:line="300" w:lineRule="auto"/>
      </w:pPr>
      <w:r>
        <w:rPr>
          <w:color w:val="555555"/>
        </w:rPr>
        <w:t>This report is based on publicly available aggregate data. No individual patient data was accessed or used.</w:t>
      </w:r>
    </w:p>
    <w:p w14:paraId="33A55C2A" w14:textId="77777777" w:rsidR="00846524" w:rsidRDefault="00846524">
      <w:pPr>
        <w:spacing w:before="200"/>
      </w:pPr>
    </w:p>
    <w:p w14:paraId="69CD8029" w14:textId="77777777" w:rsidR="00846524" w:rsidRDefault="00FA360A">
      <w:pPr>
        <w:pStyle w:val="Heading1"/>
        <w:pBdr>
          <w:bottom w:val="single" w:sz="6" w:space="4" w:color="2E8B7A"/>
        </w:pBdr>
      </w:pPr>
      <w:r>
        <w:t>8. Conclusion</w:t>
      </w:r>
    </w:p>
    <w:p w14:paraId="0BBA9AFC" w14:textId="77777777" w:rsidR="00846524" w:rsidRDefault="00FA360A">
      <w:pPr>
        <w:spacing w:before="80" w:after="120" w:line="320" w:lineRule="auto"/>
        <w:jc w:val="both"/>
      </w:pPr>
      <w:r>
        <w:rPr>
          <w:color w:val="555555"/>
        </w:rPr>
        <w:t>Ireland has made measurable progress in reducing its hospital waiting list backlog between 2023 and 2025. The number of patients waiting 18 months or more fell by more than 55% over two years, and the overall proportion of patients facing long waits has declined consistently. These are real improvements that reflect the impact of sustained government investment and NTPF initiatives.</w:t>
      </w:r>
    </w:p>
    <w:p w14:paraId="10D87337" w14:textId="77777777" w:rsidR="00846524" w:rsidRDefault="00FA360A">
      <w:pPr>
        <w:spacing w:before="80" w:after="120" w:line="320" w:lineRule="auto"/>
        <w:jc w:val="both"/>
      </w:pPr>
      <w:r>
        <w:rPr>
          <w:color w:val="555555"/>
        </w:rPr>
        <w:t>However, this analysis reveals important gaps that require attention. Overall demand is growing. The 18+ month backlog has stopped falling. Children are now disproportionately affected, with higher long-wait rates than adults across multiple specialties. And the specialties with the most severe backlogs — Oral Surgery, Clinical Genetics, and Rheumatology — are those where delays carry the greatest risk of lasting harm.</w:t>
      </w:r>
    </w:p>
    <w:p w14:paraId="5AC8CB43" w14:textId="77777777" w:rsidR="00846524" w:rsidRDefault="00FA360A">
      <w:pPr>
        <w:spacing w:before="80" w:after="120" w:line="320" w:lineRule="auto"/>
        <w:jc w:val="both"/>
      </w:pPr>
      <w:r>
        <w:rPr>
          <w:color w:val="555555"/>
        </w:rPr>
        <w:t>Addressing these challenges will require a shift from volume-based targets to severity-based metrics, a dedicated strategy for paediatric services, and renewed investment in the specialties where progress has stalled. The data is clear: the easy gains have been made. The harder work is still ahead.</w:t>
      </w:r>
    </w:p>
    <w:p w14:paraId="642AB1B7" w14:textId="77777777" w:rsidR="00846524" w:rsidRDefault="00846524">
      <w:pPr>
        <w:spacing w:before="200"/>
      </w:pPr>
    </w:p>
    <w:p w14:paraId="54F0944B" w14:textId="77777777" w:rsidR="00846524" w:rsidRDefault="00FA360A">
      <w:pPr>
        <w:pBdr>
          <w:top w:val="single" w:sz="4" w:space="6" w:color="2E8B7A"/>
        </w:pBdr>
        <w:spacing w:before="160" w:after="40"/>
        <w:jc w:val="center"/>
      </w:pPr>
      <w:r>
        <w:rPr>
          <w:i/>
          <w:iCs/>
          <w:color w:val="555555"/>
          <w:sz w:val="20"/>
          <w:szCs w:val="20"/>
        </w:rPr>
        <w:t>End of Report</w:t>
      </w:r>
    </w:p>
    <w:p w14:paraId="2C75E0C8" w14:textId="74E08823" w:rsidR="00846524" w:rsidRDefault="00FA360A">
      <w:pPr>
        <w:jc w:val="center"/>
      </w:pPr>
      <w:r>
        <w:rPr>
          <w:color w:val="555555"/>
          <w:sz w:val="18"/>
          <w:szCs w:val="18"/>
        </w:rPr>
        <w:t>Data Source: NTPF Open Data Portal | Analysis Period: January 2023 – December 2025</w:t>
      </w:r>
    </w:p>
    <w:sectPr w:rsidR="0084652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0C376" w14:textId="77777777" w:rsidR="00FA360A" w:rsidRDefault="00FA360A">
      <w:r>
        <w:separator/>
      </w:r>
    </w:p>
  </w:endnote>
  <w:endnote w:type="continuationSeparator" w:id="0">
    <w:p w14:paraId="27387FDD" w14:textId="77777777" w:rsidR="00FA360A" w:rsidRDefault="00FA3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7553" w14:textId="71FF12CB" w:rsidR="00846524" w:rsidRDefault="00FA360A">
    <w:pPr>
      <w:pBdr>
        <w:top w:val="single" w:sz="4" w:space="4" w:color="2E8B7A"/>
      </w:pBdr>
      <w:spacing w:before="80"/>
      <w:jc w:val="center"/>
    </w:pPr>
    <w:r>
      <w:rPr>
        <w:color w:val="555555"/>
        <w:sz w:val="18"/>
        <w:szCs w:val="18"/>
      </w:rPr>
      <w:t xml:space="preserve">Irish Healthcare Waiting List Analysis 2023–2025 | Data Source: NTPF Open Data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2B32FF">
      <w:rPr>
        <w:noProof/>
        <w:color w:val="555555"/>
        <w:sz w:val="18"/>
        <w:szCs w:val="18"/>
      </w:rPr>
      <w:t>1</w:t>
    </w:r>
    <w:r>
      <w:rPr>
        <w:color w:val="555555"/>
        <w:sz w:val="18"/>
        <w:szCs w:val="18"/>
      </w:rPr>
      <w:fldChar w:fldCharType="end"/>
    </w:r>
    <w:r>
      <w:rPr>
        <w:color w:val="555555"/>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B46E0" w14:textId="77777777" w:rsidR="00FA360A" w:rsidRDefault="00FA360A">
      <w:r>
        <w:separator/>
      </w:r>
    </w:p>
  </w:footnote>
  <w:footnote w:type="continuationSeparator" w:id="0">
    <w:p w14:paraId="3FFF97EC" w14:textId="77777777" w:rsidR="00FA360A" w:rsidRDefault="00FA3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F43B4"/>
    <w:multiLevelType w:val="hybridMultilevel"/>
    <w:tmpl w:val="2520949C"/>
    <w:lvl w:ilvl="0" w:tplc="B1A6C496">
      <w:start w:val="1"/>
      <w:numFmt w:val="bullet"/>
      <w:lvlText w:val="•"/>
      <w:lvlJc w:val="left"/>
      <w:pPr>
        <w:ind w:left="720" w:hanging="360"/>
      </w:pPr>
    </w:lvl>
    <w:lvl w:ilvl="1" w:tplc="433E1724">
      <w:numFmt w:val="decimal"/>
      <w:lvlText w:val=""/>
      <w:lvlJc w:val="left"/>
    </w:lvl>
    <w:lvl w:ilvl="2" w:tplc="13028664">
      <w:numFmt w:val="decimal"/>
      <w:lvlText w:val=""/>
      <w:lvlJc w:val="left"/>
    </w:lvl>
    <w:lvl w:ilvl="3" w:tplc="4D90E38C">
      <w:numFmt w:val="decimal"/>
      <w:lvlText w:val=""/>
      <w:lvlJc w:val="left"/>
    </w:lvl>
    <w:lvl w:ilvl="4" w:tplc="21A8B504">
      <w:numFmt w:val="decimal"/>
      <w:lvlText w:val=""/>
      <w:lvlJc w:val="left"/>
    </w:lvl>
    <w:lvl w:ilvl="5" w:tplc="CA0834EE">
      <w:numFmt w:val="decimal"/>
      <w:lvlText w:val=""/>
      <w:lvlJc w:val="left"/>
    </w:lvl>
    <w:lvl w:ilvl="6" w:tplc="FAD66E08">
      <w:numFmt w:val="decimal"/>
      <w:lvlText w:val=""/>
      <w:lvlJc w:val="left"/>
    </w:lvl>
    <w:lvl w:ilvl="7" w:tplc="8D6257CE">
      <w:numFmt w:val="decimal"/>
      <w:lvlText w:val=""/>
      <w:lvlJc w:val="left"/>
    </w:lvl>
    <w:lvl w:ilvl="8" w:tplc="EED87F66">
      <w:numFmt w:val="decimal"/>
      <w:lvlText w:val=""/>
      <w:lvlJc w:val="left"/>
    </w:lvl>
  </w:abstractNum>
  <w:abstractNum w:abstractNumId="1" w15:restartNumberingAfterBreak="0">
    <w:nsid w:val="6044646B"/>
    <w:multiLevelType w:val="hybridMultilevel"/>
    <w:tmpl w:val="B074CDFE"/>
    <w:lvl w:ilvl="0" w:tplc="30BABF56">
      <w:start w:val="1"/>
      <w:numFmt w:val="bullet"/>
      <w:lvlText w:val="●"/>
      <w:lvlJc w:val="left"/>
      <w:pPr>
        <w:ind w:left="720" w:hanging="360"/>
      </w:pPr>
    </w:lvl>
    <w:lvl w:ilvl="1" w:tplc="E3DE7EB8">
      <w:start w:val="1"/>
      <w:numFmt w:val="bullet"/>
      <w:lvlText w:val="○"/>
      <w:lvlJc w:val="left"/>
      <w:pPr>
        <w:ind w:left="1440" w:hanging="360"/>
      </w:pPr>
    </w:lvl>
    <w:lvl w:ilvl="2" w:tplc="B76E641C">
      <w:start w:val="1"/>
      <w:numFmt w:val="bullet"/>
      <w:lvlText w:val="■"/>
      <w:lvlJc w:val="left"/>
      <w:pPr>
        <w:ind w:left="2160" w:hanging="360"/>
      </w:pPr>
    </w:lvl>
    <w:lvl w:ilvl="3" w:tplc="1D745614">
      <w:start w:val="1"/>
      <w:numFmt w:val="bullet"/>
      <w:lvlText w:val="●"/>
      <w:lvlJc w:val="left"/>
      <w:pPr>
        <w:ind w:left="2880" w:hanging="360"/>
      </w:pPr>
    </w:lvl>
    <w:lvl w:ilvl="4" w:tplc="9B244538">
      <w:start w:val="1"/>
      <w:numFmt w:val="bullet"/>
      <w:lvlText w:val="○"/>
      <w:lvlJc w:val="left"/>
      <w:pPr>
        <w:ind w:left="3600" w:hanging="360"/>
      </w:pPr>
    </w:lvl>
    <w:lvl w:ilvl="5" w:tplc="F9E46B80">
      <w:start w:val="1"/>
      <w:numFmt w:val="bullet"/>
      <w:lvlText w:val="■"/>
      <w:lvlJc w:val="left"/>
      <w:pPr>
        <w:ind w:left="4320" w:hanging="360"/>
      </w:pPr>
    </w:lvl>
    <w:lvl w:ilvl="6" w:tplc="7F6005D8">
      <w:start w:val="1"/>
      <w:numFmt w:val="bullet"/>
      <w:lvlText w:val="●"/>
      <w:lvlJc w:val="left"/>
      <w:pPr>
        <w:ind w:left="5040" w:hanging="360"/>
      </w:pPr>
    </w:lvl>
    <w:lvl w:ilvl="7" w:tplc="81425D0C">
      <w:start w:val="1"/>
      <w:numFmt w:val="bullet"/>
      <w:lvlText w:val="●"/>
      <w:lvlJc w:val="left"/>
      <w:pPr>
        <w:ind w:left="5760" w:hanging="360"/>
      </w:pPr>
    </w:lvl>
    <w:lvl w:ilvl="8" w:tplc="230A8CB4">
      <w:start w:val="1"/>
      <w:numFmt w:val="bullet"/>
      <w:lvlText w:val="●"/>
      <w:lvlJc w:val="left"/>
      <w:pPr>
        <w:ind w:left="6480" w:hanging="360"/>
      </w:pPr>
    </w:lvl>
  </w:abstractNum>
  <w:num w:numId="1" w16cid:durableId="1233738161">
    <w:abstractNumId w:val="1"/>
    <w:lvlOverride w:ilvl="0">
      <w:startOverride w:val="1"/>
    </w:lvlOverride>
  </w:num>
  <w:num w:numId="2" w16cid:durableId="95501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524"/>
    <w:rsid w:val="000B29D2"/>
    <w:rsid w:val="002B32FF"/>
    <w:rsid w:val="002B7216"/>
    <w:rsid w:val="0037629B"/>
    <w:rsid w:val="00451C52"/>
    <w:rsid w:val="004A004E"/>
    <w:rsid w:val="005B0BA7"/>
    <w:rsid w:val="005C62FC"/>
    <w:rsid w:val="005F7134"/>
    <w:rsid w:val="00762762"/>
    <w:rsid w:val="00846524"/>
    <w:rsid w:val="00925724"/>
    <w:rsid w:val="009B4325"/>
    <w:rsid w:val="00A510F7"/>
    <w:rsid w:val="00A94C8B"/>
    <w:rsid w:val="00C670CF"/>
    <w:rsid w:val="00D32CD6"/>
    <w:rsid w:val="00FA360A"/>
    <w:rsid w:val="00FE4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9524"/>
  <w15:docId w15:val="{71AA3950-0F9B-4829-A384-440BBDA6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8B7A"/>
      <w:sz w:val="28"/>
      <w:szCs w:val="28"/>
    </w:rPr>
  </w:style>
  <w:style w:type="paragraph" w:styleId="Heading2">
    <w:name w:val="heading 2"/>
    <w:uiPriority w:val="9"/>
    <w:unhideWhenUsed/>
    <w:qFormat/>
    <w:pPr>
      <w:spacing w:before="240" w:after="120"/>
      <w:outlineLvl w:val="1"/>
    </w:pPr>
    <w:rPr>
      <w:b/>
      <w:bCs/>
      <w:color w:val="2C2C2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32FF"/>
    <w:pPr>
      <w:tabs>
        <w:tab w:val="center" w:pos="4513"/>
        <w:tab w:val="right" w:pos="9026"/>
      </w:tabs>
    </w:pPr>
  </w:style>
  <w:style w:type="character" w:customStyle="1" w:styleId="HeaderChar">
    <w:name w:val="Header Char"/>
    <w:basedOn w:val="DefaultParagraphFont"/>
    <w:link w:val="Header"/>
    <w:uiPriority w:val="99"/>
    <w:rsid w:val="002B32FF"/>
  </w:style>
  <w:style w:type="paragraph" w:styleId="Footer">
    <w:name w:val="footer"/>
    <w:basedOn w:val="Normal"/>
    <w:link w:val="FooterChar"/>
    <w:uiPriority w:val="99"/>
    <w:unhideWhenUsed/>
    <w:rsid w:val="002B32FF"/>
    <w:pPr>
      <w:tabs>
        <w:tab w:val="center" w:pos="4513"/>
        <w:tab w:val="right" w:pos="9026"/>
      </w:tabs>
    </w:pPr>
  </w:style>
  <w:style w:type="character" w:customStyle="1" w:styleId="FooterChar">
    <w:name w:val="Footer Char"/>
    <w:basedOn w:val="DefaultParagraphFont"/>
    <w:link w:val="Footer"/>
    <w:uiPriority w:val="99"/>
    <w:rsid w:val="002B3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1745</Words>
  <Characters>9760</Characters>
  <Application>Microsoft Office Word</Application>
  <DocSecurity>0</DocSecurity>
  <Lines>314</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 Oussanna</cp:lastModifiedBy>
  <cp:revision>13</cp:revision>
  <dcterms:created xsi:type="dcterms:W3CDTF">2026-05-21T10:07:00Z</dcterms:created>
  <dcterms:modified xsi:type="dcterms:W3CDTF">2026-05-21T10:26:00Z</dcterms:modified>
</cp:coreProperties>
</file>