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3C0CF" w14:textId="77777777" w:rsidR="001A3B53" w:rsidRPr="00E34877" w:rsidRDefault="001A3B53" w:rsidP="00E36AC4">
      <w:pPr>
        <w:tabs>
          <w:tab w:val="left" w:pos="7860"/>
        </w:tabs>
        <w:spacing w:after="0" w:line="276" w:lineRule="auto"/>
        <w:jc w:val="center"/>
        <w:rPr>
          <w:rFonts w:ascii="Segoe UI" w:eastAsia="Times New Roman" w:hAnsi="Segoe UI" w:cs="Segoe UI"/>
          <w:b/>
          <w:bCs/>
          <w:sz w:val="28"/>
          <w:szCs w:val="28"/>
        </w:rPr>
      </w:pPr>
      <w:r w:rsidRPr="00E34877">
        <w:rPr>
          <w:rFonts w:ascii="Segoe UI" w:eastAsia="Times New Roman" w:hAnsi="Segoe UI" w:cs="Segoe UI"/>
          <w:b/>
          <w:bCs/>
          <w:sz w:val="36"/>
          <w:szCs w:val="36"/>
        </w:rPr>
        <w:t>AmiR-P</w:t>
      </w:r>
      <w:r w:rsidRPr="00E34877">
        <w:rPr>
          <w:rFonts w:ascii="Segoe UI" w:eastAsia="Times New Roman" w:hAnsi="Segoe UI" w:cs="Segoe UI"/>
          <w:b/>
          <w:bCs/>
          <w:sz w:val="36"/>
          <w:szCs w:val="36"/>
          <w:vertAlign w:val="superscript"/>
        </w:rPr>
        <w:t>3</w:t>
      </w:r>
      <w:r w:rsidRPr="00E34877">
        <w:rPr>
          <w:rFonts w:ascii="Segoe UI" w:eastAsia="Times New Roman" w:hAnsi="Segoe UI" w:cs="Segoe UI"/>
          <w:b/>
          <w:bCs/>
          <w:sz w:val="36"/>
          <w:szCs w:val="36"/>
        </w:rPr>
        <w:t xml:space="preserve">: </w:t>
      </w:r>
      <w:r w:rsidRPr="00E34877">
        <w:rPr>
          <w:rFonts w:ascii="Segoe UI" w:eastAsia="Times New Roman" w:hAnsi="Segoe UI" w:cs="Segoe UI"/>
          <w:b/>
          <w:bCs/>
          <w:sz w:val="28"/>
          <w:szCs w:val="28"/>
        </w:rPr>
        <w:t>An AI-based microRNA prediction pipeline in plants</w:t>
      </w:r>
    </w:p>
    <w:p w14:paraId="4938B8AA" w14:textId="77777777" w:rsidR="001A3B53" w:rsidRDefault="001A3B53" w:rsidP="00E36AC4">
      <w:pPr>
        <w:spacing w:after="0" w:line="276" w:lineRule="auto"/>
        <w:jc w:val="center"/>
        <w:rPr>
          <w:rFonts w:ascii="Segoe UI" w:hAnsi="Segoe UI"/>
          <w:sz w:val="28"/>
          <w:szCs w:val="24"/>
        </w:rPr>
      </w:pPr>
      <w:r w:rsidRPr="00E34877">
        <w:rPr>
          <w:rFonts w:ascii="Segoe UI" w:hAnsi="Segoe UI"/>
          <w:sz w:val="28"/>
          <w:szCs w:val="24"/>
        </w:rPr>
        <w:t>Sobhan</w:t>
      </w:r>
      <w:bookmarkStart w:id="0" w:name="_GoBack"/>
      <w:bookmarkEnd w:id="0"/>
      <w:r w:rsidRPr="00E34877">
        <w:rPr>
          <w:rFonts w:ascii="Segoe UI" w:hAnsi="Segoe UI"/>
          <w:sz w:val="28"/>
          <w:szCs w:val="24"/>
        </w:rPr>
        <w:t xml:space="preserve"> Ataei, Jafar Ahmadi, Sayed-Amir Marashi, Ilia Abolhasani</w:t>
      </w:r>
    </w:p>
    <w:p w14:paraId="20112814" w14:textId="77777777" w:rsidR="001A3B53" w:rsidRPr="00E34877" w:rsidRDefault="001A3B53" w:rsidP="001A3B53">
      <w:pPr>
        <w:spacing w:after="0" w:line="276" w:lineRule="auto"/>
        <w:rPr>
          <w:rFonts w:ascii="Segoe UI" w:hAnsi="Segoe UI"/>
          <w:sz w:val="28"/>
          <w:szCs w:val="24"/>
          <w:vertAlign w:val="superscript"/>
        </w:rPr>
      </w:pPr>
    </w:p>
    <w:p w14:paraId="2D45C6C2" w14:textId="77777777" w:rsidR="00C12197" w:rsidRPr="00C12197" w:rsidRDefault="00C12197" w:rsidP="00C12197">
      <w:pPr>
        <w:jc w:val="center"/>
        <w:rPr>
          <w:rFonts w:asciiTheme="majorBidi" w:hAnsiTheme="majorBidi" w:cstheme="majorBidi"/>
          <w:b/>
          <w:bCs/>
          <w:sz w:val="32"/>
          <w:szCs w:val="32"/>
        </w:rPr>
      </w:pPr>
      <w:r w:rsidRPr="00C12197">
        <w:rPr>
          <w:rFonts w:asciiTheme="majorBidi" w:hAnsiTheme="majorBidi" w:cstheme="majorBidi"/>
          <w:b/>
          <w:bCs/>
          <w:sz w:val="32"/>
          <w:szCs w:val="32"/>
        </w:rPr>
        <w:t>S3 File</w:t>
      </w:r>
    </w:p>
    <w:p w14:paraId="1047D685" w14:textId="174B050B" w:rsidR="00593A60" w:rsidRDefault="00C12197" w:rsidP="00C12197">
      <w:pPr>
        <w:jc w:val="center"/>
        <w:rPr>
          <w:rFonts w:asciiTheme="majorBidi" w:hAnsiTheme="majorBidi" w:cstheme="majorBidi"/>
          <w:b/>
          <w:bCs/>
          <w:sz w:val="32"/>
          <w:szCs w:val="32"/>
        </w:rPr>
      </w:pPr>
      <w:r w:rsidRPr="00C12197">
        <w:rPr>
          <w:rFonts w:asciiTheme="majorBidi" w:hAnsiTheme="majorBidi" w:cstheme="majorBidi"/>
          <w:b/>
          <w:bCs/>
          <w:sz w:val="32"/>
          <w:szCs w:val="32"/>
        </w:rPr>
        <w:t>Sequence Logos of 20nt Flanking Regions in Positive and Negative</w:t>
      </w:r>
      <w:r>
        <w:rPr>
          <w:rFonts w:asciiTheme="majorBidi" w:hAnsiTheme="majorBidi" w:cstheme="majorBidi"/>
          <w:b/>
          <w:bCs/>
          <w:sz w:val="32"/>
          <w:szCs w:val="32"/>
        </w:rPr>
        <w:t xml:space="preserve"> p</w:t>
      </w:r>
      <w:r w:rsidRPr="00C12197">
        <w:rPr>
          <w:rFonts w:asciiTheme="majorBidi" w:hAnsiTheme="majorBidi" w:cstheme="majorBidi"/>
          <w:b/>
          <w:bCs/>
          <w:sz w:val="32"/>
          <w:szCs w:val="32"/>
        </w:rPr>
        <w:t>re-miRNA Datasets</w:t>
      </w:r>
    </w:p>
    <w:p w14:paraId="7B874E92" w14:textId="77777777" w:rsidR="00C12197" w:rsidRDefault="00C12197" w:rsidP="00C12197">
      <w:pPr>
        <w:jc w:val="center"/>
        <w:rPr>
          <w:rFonts w:asciiTheme="majorBidi" w:hAnsiTheme="majorBidi" w:cstheme="majorBidi"/>
          <w:b/>
          <w:bCs/>
          <w:sz w:val="32"/>
          <w:szCs w:val="32"/>
        </w:rPr>
      </w:pPr>
    </w:p>
    <w:p w14:paraId="1D8DFAF4" w14:textId="3B070D17" w:rsidR="00875647" w:rsidRDefault="005B0249" w:rsidP="001D13DF">
      <w:pPr>
        <w:jc w:val="both"/>
        <w:rPr>
          <w:rFonts w:asciiTheme="majorBidi" w:hAnsiTheme="majorBidi" w:cstheme="majorBidi"/>
        </w:rPr>
      </w:pPr>
      <w:r w:rsidRPr="005B0249">
        <w:rPr>
          <w:rFonts w:asciiTheme="majorBidi" w:hAnsiTheme="majorBidi" w:cstheme="majorBidi"/>
        </w:rPr>
        <w:t xml:space="preserve">To evaluate the potential bias caused by the nucleotide patterns in the neighboring sequences of genuine and simulated pre-miRNAs in the positive and negative datasets, we used </w:t>
      </w:r>
      <w:proofErr w:type="spellStart"/>
      <w:r w:rsidRPr="005B0249">
        <w:rPr>
          <w:rFonts w:asciiTheme="majorBidi" w:hAnsiTheme="majorBidi" w:cstheme="majorBidi"/>
        </w:rPr>
        <w:t>WebLogo</w:t>
      </w:r>
      <w:proofErr w:type="spellEnd"/>
      <w:r w:rsidRPr="005B0249">
        <w:rPr>
          <w:rFonts w:asciiTheme="majorBidi" w:hAnsiTheme="majorBidi" w:cstheme="majorBidi"/>
        </w:rPr>
        <w:t xml:space="preserve"> (version 3.7.12) to generate sequence logos</w:t>
      </w:r>
      <w:r>
        <w:rPr>
          <w:rFonts w:asciiTheme="majorBidi" w:hAnsiTheme="majorBidi" w:cstheme="majorBidi"/>
        </w:rPr>
        <w:t xml:space="preserve"> </w:t>
      </w:r>
      <w:r w:rsidRPr="005B0249">
        <w:rPr>
          <w:rFonts w:asciiTheme="majorBidi" w:hAnsiTheme="majorBidi" w:cstheme="majorBidi"/>
        </w:rPr>
        <w:t>(Fig</w:t>
      </w:r>
      <w:r>
        <w:rPr>
          <w:rFonts w:asciiTheme="majorBidi" w:hAnsiTheme="majorBidi" w:cstheme="majorBidi"/>
        </w:rPr>
        <w:t>. S3.</w:t>
      </w:r>
      <w:r w:rsidRPr="005B0249">
        <w:rPr>
          <w:rFonts w:asciiTheme="majorBidi" w:hAnsiTheme="majorBidi" w:cstheme="majorBidi"/>
        </w:rPr>
        <w:t>1).</w:t>
      </w:r>
      <w:r>
        <w:rPr>
          <w:rFonts w:asciiTheme="majorBidi" w:hAnsiTheme="majorBidi" w:cstheme="majorBidi"/>
        </w:rPr>
        <w:t xml:space="preserve"> </w:t>
      </w:r>
      <w:r w:rsidR="00875647">
        <w:rPr>
          <w:rFonts w:asciiTheme="majorBidi" w:hAnsiTheme="majorBidi" w:cstheme="majorBidi"/>
        </w:rPr>
        <w:t>T</w:t>
      </w:r>
      <w:r>
        <w:rPr>
          <w:rFonts w:asciiTheme="majorBidi" w:hAnsiTheme="majorBidi" w:cstheme="majorBidi"/>
        </w:rPr>
        <w:t>his</w:t>
      </w:r>
      <w:r w:rsidR="00875647">
        <w:rPr>
          <w:rFonts w:asciiTheme="majorBidi" w:hAnsiTheme="majorBidi" w:cstheme="majorBidi"/>
        </w:rPr>
        <w:t xml:space="preserve"> representation</w:t>
      </w:r>
      <w:r>
        <w:rPr>
          <w:rFonts w:asciiTheme="majorBidi" w:hAnsiTheme="majorBidi" w:cstheme="majorBidi"/>
        </w:rPr>
        <w:t xml:space="preserve"> is to show the level of similarity among sequences in a certain set, </w:t>
      </w:r>
      <w:r>
        <w:rPr>
          <w:rFonts w:asciiTheme="majorBidi" w:hAnsiTheme="majorBidi" w:cstheme="majorBidi"/>
          <w:i/>
          <w:iCs/>
        </w:rPr>
        <w:t>e. g.</w:t>
      </w:r>
      <w:r w:rsidRPr="005B0249">
        <w:rPr>
          <w:rFonts w:asciiTheme="majorBidi" w:hAnsiTheme="majorBidi" w:cstheme="majorBidi"/>
        </w:rPr>
        <w:t xml:space="preserve">, </w:t>
      </w:r>
      <w:r w:rsidR="00875647">
        <w:rPr>
          <w:rFonts w:asciiTheme="majorBidi" w:hAnsiTheme="majorBidi" w:cstheme="majorBidi"/>
        </w:rPr>
        <w:t>the set of downstream and upstream flanking sequences in pre-miRNAs. The more the conservedness of the sequences at each position, the greater the information of the nucleotides at that position.</w:t>
      </w:r>
    </w:p>
    <w:p w14:paraId="77E472AE" w14:textId="6BEBDE39" w:rsidR="00C12197" w:rsidRDefault="005B0249" w:rsidP="001D13DF">
      <w:pPr>
        <w:jc w:val="both"/>
        <w:rPr>
          <w:rFonts w:asciiTheme="majorBidi" w:hAnsiTheme="majorBidi" w:cstheme="majorBidi"/>
        </w:rPr>
      </w:pPr>
      <w:r w:rsidRPr="005B0249">
        <w:rPr>
          <w:rFonts w:asciiTheme="majorBidi" w:hAnsiTheme="majorBidi" w:cstheme="majorBidi"/>
        </w:rPr>
        <w:t>Fig</w:t>
      </w:r>
      <w:r>
        <w:rPr>
          <w:rFonts w:asciiTheme="majorBidi" w:hAnsiTheme="majorBidi" w:cstheme="majorBidi"/>
        </w:rPr>
        <w:t>ures</w:t>
      </w:r>
      <w:r w:rsidRPr="005B0249">
        <w:rPr>
          <w:rFonts w:asciiTheme="majorBidi" w:hAnsiTheme="majorBidi" w:cstheme="majorBidi"/>
        </w:rPr>
        <w:t xml:space="preserve"> </w:t>
      </w:r>
      <w:r>
        <w:rPr>
          <w:rFonts w:asciiTheme="majorBidi" w:hAnsiTheme="majorBidi" w:cstheme="majorBidi"/>
        </w:rPr>
        <w:t>S3.</w:t>
      </w:r>
      <w:r w:rsidRPr="005B0249">
        <w:rPr>
          <w:rFonts w:asciiTheme="majorBidi" w:hAnsiTheme="majorBidi" w:cstheme="majorBidi"/>
        </w:rPr>
        <w:t>2-</w:t>
      </w:r>
      <w:r>
        <w:rPr>
          <w:rFonts w:asciiTheme="majorBidi" w:hAnsiTheme="majorBidi" w:cstheme="majorBidi"/>
        </w:rPr>
        <w:t>S3.</w:t>
      </w:r>
      <w:r w:rsidRPr="005B0249">
        <w:rPr>
          <w:rFonts w:asciiTheme="majorBidi" w:hAnsiTheme="majorBidi" w:cstheme="majorBidi"/>
        </w:rPr>
        <w:t xml:space="preserve">5 show the sequence logos of the 20 nucleotides that are downstream and upstream of each real </w:t>
      </w:r>
      <w:r w:rsidR="009623F0">
        <w:rPr>
          <w:rFonts w:asciiTheme="majorBidi" w:hAnsiTheme="majorBidi" w:cstheme="majorBidi"/>
        </w:rPr>
        <w:t>or</w:t>
      </w:r>
      <w:r w:rsidRPr="005B0249">
        <w:rPr>
          <w:rFonts w:asciiTheme="majorBidi" w:hAnsiTheme="majorBidi" w:cstheme="majorBidi"/>
        </w:rPr>
        <w:t xml:space="preserve"> decoy pre-miRN</w:t>
      </w:r>
      <w:r w:rsidR="009623F0">
        <w:rPr>
          <w:rFonts w:asciiTheme="majorBidi" w:hAnsiTheme="majorBidi" w:cstheme="majorBidi"/>
        </w:rPr>
        <w:t>A datasets</w:t>
      </w:r>
      <w:r w:rsidRPr="005B0249">
        <w:rPr>
          <w:rFonts w:asciiTheme="majorBidi" w:hAnsiTheme="majorBidi" w:cstheme="majorBidi"/>
        </w:rPr>
        <w:t>. Fig</w:t>
      </w:r>
      <w:r w:rsidR="009623F0">
        <w:rPr>
          <w:rFonts w:asciiTheme="majorBidi" w:hAnsiTheme="majorBidi" w:cstheme="majorBidi"/>
        </w:rPr>
        <w:t>. S3.</w:t>
      </w:r>
      <w:r w:rsidRPr="005B0249">
        <w:rPr>
          <w:rFonts w:asciiTheme="majorBidi" w:hAnsiTheme="majorBidi" w:cstheme="majorBidi"/>
        </w:rPr>
        <w:t>2 and Fig</w:t>
      </w:r>
      <w:r w:rsidR="009623F0">
        <w:rPr>
          <w:rFonts w:asciiTheme="majorBidi" w:hAnsiTheme="majorBidi" w:cstheme="majorBidi"/>
        </w:rPr>
        <w:t>. S3.</w:t>
      </w:r>
      <w:r w:rsidRPr="005B0249">
        <w:rPr>
          <w:rFonts w:asciiTheme="majorBidi" w:hAnsiTheme="majorBidi" w:cstheme="majorBidi"/>
        </w:rPr>
        <w:t xml:space="preserve">3 represent the 20 nucleotides downstream and upstream of pre-miRNAs </w:t>
      </w:r>
      <w:r w:rsidR="006A0295">
        <w:rPr>
          <w:rFonts w:asciiTheme="majorBidi" w:hAnsiTheme="majorBidi" w:cstheme="majorBidi"/>
        </w:rPr>
        <w:t>(</w:t>
      </w:r>
      <w:r w:rsidRPr="005B0249">
        <w:rPr>
          <w:rFonts w:asciiTheme="majorBidi" w:hAnsiTheme="majorBidi" w:cstheme="majorBidi"/>
        </w:rPr>
        <w:t>in the positive dataset</w:t>
      </w:r>
      <w:r w:rsidR="006A0295">
        <w:rPr>
          <w:rFonts w:asciiTheme="majorBidi" w:hAnsiTheme="majorBidi" w:cstheme="majorBidi"/>
        </w:rPr>
        <w:t>)</w:t>
      </w:r>
      <w:r w:rsidRPr="005B0249">
        <w:rPr>
          <w:rFonts w:asciiTheme="majorBidi" w:hAnsiTheme="majorBidi" w:cstheme="majorBidi"/>
        </w:rPr>
        <w:t>, respectively. Fig</w:t>
      </w:r>
      <w:r w:rsidR="009623F0">
        <w:rPr>
          <w:rFonts w:asciiTheme="majorBidi" w:hAnsiTheme="majorBidi" w:cstheme="majorBidi"/>
        </w:rPr>
        <w:t>. S3.</w:t>
      </w:r>
      <w:r w:rsidRPr="005B0249">
        <w:rPr>
          <w:rFonts w:asciiTheme="majorBidi" w:hAnsiTheme="majorBidi" w:cstheme="majorBidi"/>
        </w:rPr>
        <w:t>4 and Fig</w:t>
      </w:r>
      <w:r w:rsidR="009623F0">
        <w:rPr>
          <w:rFonts w:asciiTheme="majorBidi" w:hAnsiTheme="majorBidi" w:cstheme="majorBidi"/>
        </w:rPr>
        <w:t>. S3.</w:t>
      </w:r>
      <w:r w:rsidRPr="005B0249">
        <w:rPr>
          <w:rFonts w:asciiTheme="majorBidi" w:hAnsiTheme="majorBidi" w:cstheme="majorBidi"/>
        </w:rPr>
        <w:t xml:space="preserve">5 represent the 20 nucleotides downstream and upstream of decoy pre-miRNAs </w:t>
      </w:r>
      <w:r w:rsidR="006A0295">
        <w:rPr>
          <w:rFonts w:asciiTheme="majorBidi" w:hAnsiTheme="majorBidi" w:cstheme="majorBidi"/>
        </w:rPr>
        <w:t>(</w:t>
      </w:r>
      <w:r w:rsidRPr="005B0249">
        <w:rPr>
          <w:rFonts w:asciiTheme="majorBidi" w:hAnsiTheme="majorBidi" w:cstheme="majorBidi"/>
        </w:rPr>
        <w:t>in the negative dataset</w:t>
      </w:r>
      <w:r w:rsidR="006A0295">
        <w:rPr>
          <w:rFonts w:asciiTheme="majorBidi" w:hAnsiTheme="majorBidi" w:cstheme="majorBidi"/>
        </w:rPr>
        <w:t>)</w:t>
      </w:r>
      <w:r w:rsidRPr="005B0249">
        <w:rPr>
          <w:rFonts w:asciiTheme="majorBidi" w:hAnsiTheme="majorBidi" w:cstheme="majorBidi"/>
        </w:rPr>
        <w:t xml:space="preserve">, respectively. These logos indicate that there is no significant nucleotide conservation in </w:t>
      </w:r>
      <w:r w:rsidR="006A0295">
        <w:rPr>
          <w:rFonts w:asciiTheme="majorBidi" w:hAnsiTheme="majorBidi" w:cstheme="majorBidi"/>
        </w:rPr>
        <w:t xml:space="preserve">the flanking regions in </w:t>
      </w:r>
      <w:r w:rsidRPr="005B0249">
        <w:rPr>
          <w:rFonts w:asciiTheme="majorBidi" w:hAnsiTheme="majorBidi" w:cstheme="majorBidi"/>
        </w:rPr>
        <w:t>either dataset</w:t>
      </w:r>
      <w:r w:rsidR="001D13DF" w:rsidRPr="001D13DF">
        <w:rPr>
          <w:rFonts w:asciiTheme="majorBidi" w:hAnsiTheme="majorBidi" w:cstheme="majorBidi"/>
        </w:rPr>
        <w:t>.</w:t>
      </w:r>
    </w:p>
    <w:p w14:paraId="2E9E4AAE" w14:textId="77777777" w:rsidR="008774D8" w:rsidRDefault="008774D8" w:rsidP="001D13DF">
      <w:pPr>
        <w:jc w:val="both"/>
        <w:rPr>
          <w:rFonts w:asciiTheme="majorBidi" w:hAnsiTheme="majorBidi" w:cstheme="majorBidi"/>
        </w:rPr>
      </w:pPr>
    </w:p>
    <w:p w14:paraId="32AD01D2" w14:textId="77777777" w:rsidR="008774D8" w:rsidRDefault="008774D8" w:rsidP="008774D8">
      <w:pPr>
        <w:keepNext/>
        <w:jc w:val="center"/>
      </w:pPr>
      <w:r>
        <w:rPr>
          <w:rFonts w:asciiTheme="majorBidi" w:hAnsiTheme="majorBidi" w:cstheme="majorBidi"/>
          <w:noProof/>
        </w:rPr>
        <w:drawing>
          <wp:inline distT="0" distB="0" distL="0" distR="0" wp14:anchorId="0ABA694B" wp14:editId="07B4B217">
            <wp:extent cx="3166331" cy="3197668"/>
            <wp:effectExtent l="0" t="0" r="0" b="3175"/>
            <wp:docPr id="162153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30254"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2581" cy="3214079"/>
                    </a:xfrm>
                    <a:prstGeom prst="rect">
                      <a:avLst/>
                    </a:prstGeom>
                  </pic:spPr>
                </pic:pic>
              </a:graphicData>
            </a:graphic>
          </wp:inline>
        </w:drawing>
      </w:r>
    </w:p>
    <w:p w14:paraId="68160FFB" w14:textId="71B5FD3C" w:rsidR="008774D8" w:rsidRDefault="008774D8" w:rsidP="008B173A">
      <w:pPr>
        <w:pStyle w:val="Caption"/>
        <w:ind w:firstLine="1985"/>
        <w:rPr>
          <w:rFonts w:asciiTheme="majorBidi" w:hAnsiTheme="majorBidi" w:cstheme="majorBidi"/>
          <w:i w:val="0"/>
          <w:iCs w:val="0"/>
          <w:color w:val="auto"/>
          <w:sz w:val="16"/>
          <w:szCs w:val="16"/>
        </w:rPr>
      </w:pPr>
      <w:r w:rsidRPr="008B173A">
        <w:rPr>
          <w:rFonts w:asciiTheme="majorBidi" w:hAnsiTheme="majorBidi" w:cstheme="majorBidi"/>
          <w:b/>
          <w:bCs/>
          <w:i w:val="0"/>
          <w:iCs w:val="0"/>
          <w:color w:val="auto"/>
          <w:sz w:val="16"/>
          <w:szCs w:val="16"/>
        </w:rPr>
        <w:t>Fig</w:t>
      </w:r>
      <w:r w:rsidR="008974DA" w:rsidRPr="008B173A">
        <w:rPr>
          <w:rFonts w:asciiTheme="majorBidi" w:hAnsiTheme="majorBidi" w:cstheme="majorBidi"/>
          <w:b/>
          <w:bCs/>
          <w:i w:val="0"/>
          <w:iCs w:val="0"/>
          <w:color w:val="auto"/>
          <w:sz w:val="16"/>
          <w:szCs w:val="16"/>
        </w:rPr>
        <w:t>. S3.</w:t>
      </w:r>
      <w:r w:rsidRPr="008B173A">
        <w:rPr>
          <w:rFonts w:asciiTheme="majorBidi" w:hAnsiTheme="majorBidi" w:cstheme="majorBidi"/>
          <w:b/>
          <w:bCs/>
          <w:i w:val="0"/>
          <w:iCs w:val="0"/>
          <w:color w:val="auto"/>
          <w:sz w:val="16"/>
          <w:szCs w:val="16"/>
        </w:rPr>
        <w:fldChar w:fldCharType="begin"/>
      </w:r>
      <w:r w:rsidRPr="008B173A">
        <w:rPr>
          <w:rFonts w:asciiTheme="majorBidi" w:hAnsiTheme="majorBidi" w:cstheme="majorBidi"/>
          <w:b/>
          <w:bCs/>
          <w:i w:val="0"/>
          <w:iCs w:val="0"/>
          <w:color w:val="auto"/>
          <w:sz w:val="16"/>
          <w:szCs w:val="16"/>
        </w:rPr>
        <w:instrText xml:space="preserve"> SEQ Figure \* ARABIC </w:instrText>
      </w:r>
      <w:r w:rsidRPr="008B173A">
        <w:rPr>
          <w:rFonts w:asciiTheme="majorBidi" w:hAnsiTheme="majorBidi" w:cstheme="majorBidi"/>
          <w:b/>
          <w:bCs/>
          <w:i w:val="0"/>
          <w:iCs w:val="0"/>
          <w:color w:val="auto"/>
          <w:sz w:val="16"/>
          <w:szCs w:val="16"/>
        </w:rPr>
        <w:fldChar w:fldCharType="separate"/>
      </w:r>
      <w:r w:rsidR="00B42C87">
        <w:rPr>
          <w:rFonts w:asciiTheme="majorBidi" w:hAnsiTheme="majorBidi" w:cstheme="majorBidi"/>
          <w:b/>
          <w:bCs/>
          <w:i w:val="0"/>
          <w:iCs w:val="0"/>
          <w:noProof/>
          <w:color w:val="auto"/>
          <w:sz w:val="16"/>
          <w:szCs w:val="16"/>
        </w:rPr>
        <w:t>1</w:t>
      </w:r>
      <w:r w:rsidRPr="008B173A">
        <w:rPr>
          <w:rFonts w:asciiTheme="majorBidi" w:hAnsiTheme="majorBidi" w:cstheme="majorBidi"/>
          <w:b/>
          <w:bCs/>
          <w:i w:val="0"/>
          <w:iCs w:val="0"/>
          <w:color w:val="auto"/>
          <w:sz w:val="16"/>
          <w:szCs w:val="16"/>
        </w:rPr>
        <w:fldChar w:fldCharType="end"/>
      </w:r>
      <w:r w:rsidRPr="008B173A">
        <w:rPr>
          <w:rFonts w:asciiTheme="majorBidi" w:hAnsiTheme="majorBidi" w:cstheme="majorBidi"/>
          <w:b/>
          <w:bCs/>
          <w:i w:val="0"/>
          <w:iCs w:val="0"/>
          <w:color w:val="auto"/>
          <w:sz w:val="16"/>
          <w:szCs w:val="16"/>
        </w:rPr>
        <w:t xml:space="preserve">. </w:t>
      </w:r>
      <w:r w:rsidRPr="008774D8">
        <w:rPr>
          <w:rFonts w:asciiTheme="majorBidi" w:hAnsiTheme="majorBidi" w:cstheme="majorBidi"/>
          <w:i w:val="0"/>
          <w:iCs w:val="0"/>
          <w:color w:val="auto"/>
          <w:sz w:val="16"/>
          <w:szCs w:val="16"/>
        </w:rPr>
        <w:t>Visualization of a</w:t>
      </w:r>
      <w:r>
        <w:rPr>
          <w:rFonts w:asciiTheme="majorBidi" w:hAnsiTheme="majorBidi" w:cstheme="majorBidi"/>
          <w:i w:val="0"/>
          <w:iCs w:val="0"/>
          <w:color w:val="auto"/>
          <w:sz w:val="16"/>
          <w:szCs w:val="16"/>
        </w:rPr>
        <w:t xml:space="preserve"> real/decoy pre-microRNA with two flanking sequences</w:t>
      </w:r>
    </w:p>
    <w:p w14:paraId="5D5DA515" w14:textId="77777777" w:rsidR="009F7FB5" w:rsidRDefault="009F7FB5" w:rsidP="009F7FB5"/>
    <w:p w14:paraId="4AC3C984" w14:textId="77777777" w:rsidR="009F7FB5" w:rsidRPr="000A5D50" w:rsidRDefault="009F7FB5" w:rsidP="000A5D50">
      <w:pPr>
        <w:keepNext/>
        <w:jc w:val="center"/>
      </w:pPr>
      <w:r w:rsidRPr="000A5D50">
        <w:rPr>
          <w:noProof/>
        </w:rPr>
        <w:drawing>
          <wp:inline distT="0" distB="0" distL="0" distR="0" wp14:anchorId="19801CAE" wp14:editId="62167C83">
            <wp:extent cx="4560781" cy="1300519"/>
            <wp:effectExtent l="0" t="0" r="0" b="0"/>
            <wp:docPr id="15117320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32024" name="Picture 1511732024"/>
                    <pic:cNvPicPr/>
                  </pic:nvPicPr>
                  <pic:blipFill rotWithShape="1">
                    <a:blip r:embed="rId7" cstate="print">
                      <a:extLst>
                        <a:ext uri="{28A0092B-C50C-407E-A947-70E740481C1C}">
                          <a14:useLocalDpi xmlns:a14="http://schemas.microsoft.com/office/drawing/2010/main" val="0"/>
                        </a:ext>
                      </a:extLst>
                    </a:blip>
                    <a:srcRect b="9430"/>
                    <a:stretch/>
                  </pic:blipFill>
                  <pic:spPr bwMode="auto">
                    <a:xfrm>
                      <a:off x="0" y="0"/>
                      <a:ext cx="4602774" cy="1312493"/>
                    </a:xfrm>
                    <a:prstGeom prst="rect">
                      <a:avLst/>
                    </a:prstGeom>
                    <a:ln>
                      <a:noFill/>
                    </a:ln>
                    <a:extLst>
                      <a:ext uri="{53640926-AAD7-44D8-BBD7-CCE9431645EC}">
                        <a14:shadowObscured xmlns:a14="http://schemas.microsoft.com/office/drawing/2010/main"/>
                      </a:ext>
                    </a:extLst>
                  </pic:spPr>
                </pic:pic>
              </a:graphicData>
            </a:graphic>
          </wp:inline>
        </w:drawing>
      </w:r>
    </w:p>
    <w:p w14:paraId="07039852" w14:textId="07712CD9" w:rsidR="009F7FB5" w:rsidRPr="00BF253B" w:rsidRDefault="009F7FB5" w:rsidP="008B173A">
      <w:pPr>
        <w:spacing w:after="0"/>
        <w:ind w:left="1134" w:right="855"/>
        <w:rPr>
          <w:rFonts w:asciiTheme="majorBidi" w:hAnsiTheme="majorBidi" w:cstheme="majorBidi"/>
          <w:sz w:val="16"/>
          <w:szCs w:val="16"/>
        </w:rPr>
      </w:pPr>
      <w:bookmarkStart w:id="1" w:name="_Hlk144171422"/>
      <w:r w:rsidRPr="00BF253B">
        <w:rPr>
          <w:rFonts w:asciiTheme="majorBidi" w:hAnsiTheme="majorBidi" w:cstheme="majorBidi"/>
          <w:b/>
          <w:bCs/>
          <w:sz w:val="16"/>
          <w:szCs w:val="16"/>
        </w:rPr>
        <w:t>Fig</w:t>
      </w:r>
      <w:r w:rsidR="00BF253B" w:rsidRPr="00BF253B">
        <w:rPr>
          <w:rFonts w:asciiTheme="majorBidi" w:hAnsiTheme="majorBidi" w:cstheme="majorBidi"/>
          <w:b/>
          <w:bCs/>
          <w:sz w:val="16"/>
          <w:szCs w:val="16"/>
        </w:rPr>
        <w:t>. S3.</w:t>
      </w:r>
      <w:r w:rsidRPr="00BF253B">
        <w:rPr>
          <w:rFonts w:asciiTheme="majorBidi" w:hAnsiTheme="majorBidi" w:cstheme="majorBidi"/>
          <w:b/>
          <w:bCs/>
          <w:sz w:val="16"/>
          <w:szCs w:val="16"/>
        </w:rPr>
        <w:t>2.</w:t>
      </w:r>
      <w:r w:rsidRPr="00BF253B">
        <w:rPr>
          <w:rFonts w:asciiTheme="majorBidi" w:hAnsiTheme="majorBidi" w:cstheme="majorBidi"/>
          <w:sz w:val="16"/>
          <w:szCs w:val="16"/>
        </w:rPr>
        <w:t xml:space="preserve"> </w:t>
      </w:r>
      <w:proofErr w:type="spellStart"/>
      <w:r w:rsidRPr="00BF253B">
        <w:rPr>
          <w:rFonts w:asciiTheme="majorBidi" w:hAnsiTheme="majorBidi" w:cstheme="majorBidi"/>
          <w:sz w:val="16"/>
          <w:szCs w:val="16"/>
        </w:rPr>
        <w:t>WebLogo</w:t>
      </w:r>
      <w:proofErr w:type="spellEnd"/>
      <w:r w:rsidRPr="00BF253B">
        <w:rPr>
          <w:rFonts w:asciiTheme="majorBidi" w:hAnsiTheme="majorBidi" w:cstheme="majorBidi"/>
          <w:sz w:val="16"/>
          <w:szCs w:val="16"/>
        </w:rPr>
        <w:t xml:space="preserve"> diagram for the 20 nucleotides downstream of </w:t>
      </w:r>
      <w:r w:rsidR="000A5D50" w:rsidRPr="00BF253B">
        <w:rPr>
          <w:rFonts w:asciiTheme="majorBidi" w:hAnsiTheme="majorBidi" w:cstheme="majorBidi"/>
          <w:sz w:val="16"/>
          <w:szCs w:val="16"/>
        </w:rPr>
        <w:t xml:space="preserve">the </w:t>
      </w:r>
      <w:r w:rsidRPr="00BF253B">
        <w:rPr>
          <w:rFonts w:asciiTheme="majorBidi" w:hAnsiTheme="majorBidi" w:cstheme="majorBidi"/>
          <w:sz w:val="16"/>
          <w:szCs w:val="16"/>
        </w:rPr>
        <w:t>pre-miRNAs in the positive datasets</w:t>
      </w:r>
      <w:r w:rsidR="00BF253B">
        <w:rPr>
          <w:rFonts w:asciiTheme="majorBidi" w:hAnsiTheme="majorBidi" w:cstheme="majorBidi"/>
          <w:sz w:val="16"/>
          <w:szCs w:val="16"/>
        </w:rPr>
        <w:t xml:space="preserve">. The height of each column at each position represents the information level at that position (in bits). </w:t>
      </w:r>
    </w:p>
    <w:bookmarkEnd w:id="1"/>
    <w:p w14:paraId="3ABEFE96" w14:textId="77777777" w:rsidR="009F7FB5" w:rsidRPr="000A5D50" w:rsidRDefault="009F7FB5" w:rsidP="000A5D50">
      <w:pPr>
        <w:jc w:val="center"/>
        <w:rPr>
          <w:sz w:val="18"/>
          <w:szCs w:val="18"/>
        </w:rPr>
      </w:pPr>
    </w:p>
    <w:p w14:paraId="3828A27C" w14:textId="77777777" w:rsidR="009F7FB5" w:rsidRPr="000A5D50" w:rsidRDefault="009F7FB5" w:rsidP="000A5D50">
      <w:pPr>
        <w:keepNext/>
        <w:jc w:val="center"/>
      </w:pPr>
      <w:r w:rsidRPr="000A5D50">
        <w:rPr>
          <w:noProof/>
        </w:rPr>
        <w:drawing>
          <wp:inline distT="0" distB="0" distL="0" distR="0" wp14:anchorId="2921CA48" wp14:editId="3BDD5FBA">
            <wp:extent cx="4476633" cy="1282915"/>
            <wp:effectExtent l="0" t="0" r="635" b="0"/>
            <wp:docPr id="14501941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94101" name="Picture 1450194101"/>
                    <pic:cNvPicPr/>
                  </pic:nvPicPr>
                  <pic:blipFill rotWithShape="1">
                    <a:blip r:embed="rId8" cstate="print">
                      <a:extLst>
                        <a:ext uri="{28A0092B-C50C-407E-A947-70E740481C1C}">
                          <a14:useLocalDpi xmlns:a14="http://schemas.microsoft.com/office/drawing/2010/main" val="0"/>
                        </a:ext>
                      </a:extLst>
                    </a:blip>
                    <a:srcRect b="8977"/>
                    <a:stretch/>
                  </pic:blipFill>
                  <pic:spPr bwMode="auto">
                    <a:xfrm>
                      <a:off x="0" y="0"/>
                      <a:ext cx="4546988" cy="1303077"/>
                    </a:xfrm>
                    <a:prstGeom prst="rect">
                      <a:avLst/>
                    </a:prstGeom>
                    <a:ln>
                      <a:noFill/>
                    </a:ln>
                    <a:extLst>
                      <a:ext uri="{53640926-AAD7-44D8-BBD7-CCE9431645EC}">
                        <a14:shadowObscured xmlns:a14="http://schemas.microsoft.com/office/drawing/2010/main"/>
                      </a:ext>
                    </a:extLst>
                  </pic:spPr>
                </pic:pic>
              </a:graphicData>
            </a:graphic>
          </wp:inline>
        </w:drawing>
      </w:r>
    </w:p>
    <w:p w14:paraId="5E835FF5" w14:textId="46438BD9" w:rsidR="008B173A" w:rsidRPr="008B173A" w:rsidRDefault="009F7FB5" w:rsidP="008B173A">
      <w:pPr>
        <w:spacing w:after="0"/>
        <w:ind w:left="1134" w:right="1138"/>
        <w:rPr>
          <w:rFonts w:asciiTheme="majorBidi" w:hAnsiTheme="majorBidi" w:cstheme="majorBidi"/>
          <w:sz w:val="16"/>
          <w:szCs w:val="16"/>
        </w:rPr>
      </w:pPr>
      <w:r w:rsidRPr="008B173A">
        <w:rPr>
          <w:rFonts w:asciiTheme="majorBidi" w:hAnsiTheme="majorBidi" w:cstheme="majorBidi"/>
          <w:b/>
          <w:bCs/>
          <w:sz w:val="16"/>
          <w:szCs w:val="16"/>
        </w:rPr>
        <w:t>Fig</w:t>
      </w:r>
      <w:r w:rsidR="008B173A" w:rsidRPr="008B173A">
        <w:rPr>
          <w:rFonts w:asciiTheme="majorBidi" w:hAnsiTheme="majorBidi" w:cstheme="majorBidi"/>
          <w:b/>
          <w:bCs/>
          <w:sz w:val="16"/>
          <w:szCs w:val="16"/>
        </w:rPr>
        <w:t>. S3.</w:t>
      </w:r>
      <w:r w:rsidR="000A5D50" w:rsidRPr="008B173A">
        <w:rPr>
          <w:rFonts w:asciiTheme="majorBidi" w:hAnsiTheme="majorBidi" w:cstheme="majorBidi"/>
          <w:b/>
          <w:bCs/>
          <w:sz w:val="16"/>
          <w:szCs w:val="16"/>
        </w:rPr>
        <w:t>3</w:t>
      </w:r>
      <w:r w:rsidRPr="008B173A">
        <w:rPr>
          <w:rFonts w:asciiTheme="majorBidi" w:hAnsiTheme="majorBidi" w:cstheme="majorBidi"/>
          <w:b/>
          <w:bCs/>
          <w:sz w:val="16"/>
          <w:szCs w:val="16"/>
        </w:rPr>
        <w:t>.</w:t>
      </w:r>
      <w:r w:rsidRPr="008B173A">
        <w:rPr>
          <w:rFonts w:asciiTheme="majorBidi" w:hAnsiTheme="majorBidi" w:cstheme="majorBidi"/>
          <w:sz w:val="16"/>
          <w:szCs w:val="16"/>
        </w:rPr>
        <w:t xml:space="preserve"> </w:t>
      </w:r>
      <w:proofErr w:type="spellStart"/>
      <w:r w:rsidRPr="008B173A">
        <w:rPr>
          <w:rFonts w:asciiTheme="majorBidi" w:hAnsiTheme="majorBidi" w:cstheme="majorBidi"/>
          <w:sz w:val="16"/>
          <w:szCs w:val="16"/>
        </w:rPr>
        <w:t>WebLogo</w:t>
      </w:r>
      <w:proofErr w:type="spellEnd"/>
      <w:r w:rsidRPr="008B173A">
        <w:rPr>
          <w:rFonts w:asciiTheme="majorBidi" w:hAnsiTheme="majorBidi" w:cstheme="majorBidi"/>
          <w:sz w:val="16"/>
          <w:szCs w:val="16"/>
        </w:rPr>
        <w:t xml:space="preserve"> diagram for the 20 nucleotides upstream of </w:t>
      </w:r>
      <w:r w:rsidR="000A5D50" w:rsidRPr="008B173A">
        <w:rPr>
          <w:rFonts w:asciiTheme="majorBidi" w:hAnsiTheme="majorBidi" w:cstheme="majorBidi"/>
          <w:sz w:val="16"/>
          <w:szCs w:val="16"/>
        </w:rPr>
        <w:t xml:space="preserve">the </w:t>
      </w:r>
      <w:r w:rsidRPr="008B173A">
        <w:rPr>
          <w:rFonts w:asciiTheme="majorBidi" w:hAnsiTheme="majorBidi" w:cstheme="majorBidi"/>
          <w:sz w:val="16"/>
          <w:szCs w:val="16"/>
        </w:rPr>
        <w:t>pre-miRNAs in the positive datasets</w:t>
      </w:r>
      <w:r w:rsidR="008B173A" w:rsidRPr="008B173A">
        <w:rPr>
          <w:rFonts w:asciiTheme="majorBidi" w:hAnsiTheme="majorBidi" w:cstheme="majorBidi"/>
          <w:sz w:val="16"/>
          <w:szCs w:val="16"/>
        </w:rPr>
        <w:t xml:space="preserve">. The height of each column at each position represents the information level at that position (in bits). </w:t>
      </w:r>
    </w:p>
    <w:p w14:paraId="25AE3A3E" w14:textId="710511F8" w:rsidR="000A5D50" w:rsidRPr="008B173A" w:rsidRDefault="000A5D50" w:rsidP="00542119">
      <w:pPr>
        <w:keepNext/>
        <w:spacing w:after="0"/>
        <w:rPr>
          <w:rFonts w:asciiTheme="majorBidi" w:hAnsiTheme="majorBidi" w:cstheme="majorBidi"/>
          <w:sz w:val="16"/>
          <w:szCs w:val="16"/>
        </w:rPr>
      </w:pPr>
    </w:p>
    <w:p w14:paraId="3519021E" w14:textId="77777777" w:rsidR="000A5D50" w:rsidRPr="008B173A" w:rsidRDefault="000A5D50" w:rsidP="000A5D50">
      <w:pPr>
        <w:keepNext/>
        <w:spacing w:after="0"/>
        <w:jc w:val="center"/>
        <w:rPr>
          <w:sz w:val="18"/>
          <w:szCs w:val="18"/>
        </w:rPr>
      </w:pPr>
    </w:p>
    <w:p w14:paraId="3F4EDF24" w14:textId="27FD2249" w:rsidR="000A5D50" w:rsidRPr="008B173A" w:rsidRDefault="009F7FB5" w:rsidP="000A5D50">
      <w:pPr>
        <w:keepNext/>
        <w:spacing w:after="0"/>
        <w:jc w:val="center"/>
      </w:pPr>
      <w:r w:rsidRPr="008B173A">
        <w:rPr>
          <w:noProof/>
        </w:rPr>
        <w:drawing>
          <wp:inline distT="0" distB="0" distL="0" distR="0" wp14:anchorId="02F69BA0" wp14:editId="50E1B373">
            <wp:extent cx="4386876" cy="1245104"/>
            <wp:effectExtent l="0" t="0" r="0" b="0"/>
            <wp:docPr id="952182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18296" name="Picture 95218296"/>
                    <pic:cNvPicPr/>
                  </pic:nvPicPr>
                  <pic:blipFill rotWithShape="1">
                    <a:blip r:embed="rId9" cstate="print">
                      <a:extLst>
                        <a:ext uri="{28A0092B-C50C-407E-A947-70E740481C1C}">
                          <a14:useLocalDpi xmlns:a14="http://schemas.microsoft.com/office/drawing/2010/main" val="0"/>
                        </a:ext>
                      </a:extLst>
                    </a:blip>
                    <a:srcRect b="9852"/>
                    <a:stretch/>
                  </pic:blipFill>
                  <pic:spPr bwMode="auto">
                    <a:xfrm>
                      <a:off x="0" y="0"/>
                      <a:ext cx="4453204" cy="1263930"/>
                    </a:xfrm>
                    <a:prstGeom prst="rect">
                      <a:avLst/>
                    </a:prstGeom>
                    <a:ln>
                      <a:noFill/>
                    </a:ln>
                    <a:extLst>
                      <a:ext uri="{53640926-AAD7-44D8-BBD7-CCE9431645EC}">
                        <a14:shadowObscured xmlns:a14="http://schemas.microsoft.com/office/drawing/2010/main"/>
                      </a:ext>
                    </a:extLst>
                  </pic:spPr>
                </pic:pic>
              </a:graphicData>
            </a:graphic>
          </wp:inline>
        </w:drawing>
      </w:r>
    </w:p>
    <w:p w14:paraId="0173FB5B" w14:textId="61B6922E" w:rsidR="008B173A" w:rsidRPr="008B173A" w:rsidRDefault="000A5D50" w:rsidP="008B173A">
      <w:pPr>
        <w:spacing w:after="0"/>
        <w:ind w:left="1134" w:right="1138"/>
        <w:rPr>
          <w:rFonts w:asciiTheme="majorBidi" w:hAnsiTheme="majorBidi" w:cstheme="majorBidi"/>
          <w:b/>
          <w:bCs/>
          <w:sz w:val="16"/>
          <w:szCs w:val="16"/>
        </w:rPr>
      </w:pPr>
      <w:r w:rsidRPr="008B173A">
        <w:rPr>
          <w:rFonts w:asciiTheme="majorBidi" w:hAnsiTheme="majorBidi" w:cstheme="majorBidi"/>
          <w:b/>
          <w:bCs/>
          <w:sz w:val="16"/>
          <w:szCs w:val="16"/>
        </w:rPr>
        <w:t>Fig</w:t>
      </w:r>
      <w:r w:rsidR="008B173A" w:rsidRPr="008B173A">
        <w:rPr>
          <w:rFonts w:asciiTheme="majorBidi" w:hAnsiTheme="majorBidi" w:cstheme="majorBidi"/>
          <w:b/>
          <w:bCs/>
          <w:sz w:val="16"/>
          <w:szCs w:val="16"/>
        </w:rPr>
        <w:t>. S3.</w:t>
      </w:r>
      <w:r w:rsidRPr="008B173A">
        <w:rPr>
          <w:rFonts w:asciiTheme="majorBidi" w:hAnsiTheme="majorBidi" w:cstheme="majorBidi"/>
          <w:b/>
          <w:bCs/>
          <w:sz w:val="16"/>
          <w:szCs w:val="16"/>
        </w:rPr>
        <w:t>4.</w:t>
      </w:r>
      <w:r w:rsidRPr="008B173A">
        <w:rPr>
          <w:rFonts w:asciiTheme="majorBidi" w:hAnsiTheme="majorBidi" w:cstheme="majorBidi"/>
          <w:sz w:val="16"/>
          <w:szCs w:val="16"/>
        </w:rPr>
        <w:t xml:space="preserve"> </w:t>
      </w:r>
      <w:proofErr w:type="spellStart"/>
      <w:r w:rsidRPr="008B173A">
        <w:rPr>
          <w:rFonts w:asciiTheme="majorBidi" w:hAnsiTheme="majorBidi" w:cstheme="majorBidi"/>
          <w:sz w:val="16"/>
          <w:szCs w:val="16"/>
        </w:rPr>
        <w:t>WebLogo</w:t>
      </w:r>
      <w:proofErr w:type="spellEnd"/>
      <w:r w:rsidRPr="008B173A">
        <w:rPr>
          <w:rFonts w:asciiTheme="majorBidi" w:hAnsiTheme="majorBidi" w:cstheme="majorBidi"/>
          <w:sz w:val="16"/>
          <w:szCs w:val="16"/>
        </w:rPr>
        <w:t xml:space="preserve"> diagram for the 20 nucleotides downstream of the decoy pre-miRNAs in the negative datasets</w:t>
      </w:r>
      <w:r w:rsidR="008B173A" w:rsidRPr="008B173A">
        <w:rPr>
          <w:rFonts w:asciiTheme="majorBidi" w:hAnsiTheme="majorBidi" w:cstheme="majorBidi"/>
          <w:sz w:val="16"/>
          <w:szCs w:val="16"/>
        </w:rPr>
        <w:t xml:space="preserve">. The height of each column at each position represents the information level at that position (in bits). </w:t>
      </w:r>
    </w:p>
    <w:p w14:paraId="275AFD14" w14:textId="597E8C6D" w:rsidR="000A5D50" w:rsidRPr="008B173A" w:rsidRDefault="000A5D50" w:rsidP="008B173A">
      <w:pPr>
        <w:keepNext/>
        <w:spacing w:after="0"/>
        <w:rPr>
          <w:rFonts w:asciiTheme="majorBidi" w:hAnsiTheme="majorBidi" w:cstheme="majorBidi"/>
          <w:sz w:val="16"/>
          <w:szCs w:val="16"/>
        </w:rPr>
      </w:pPr>
    </w:p>
    <w:p w14:paraId="1BDB8A2E" w14:textId="77777777" w:rsidR="000A5D50" w:rsidRPr="008B173A" w:rsidRDefault="000A5D50" w:rsidP="000A5D50">
      <w:pPr>
        <w:keepNext/>
        <w:jc w:val="center"/>
        <w:rPr>
          <w:sz w:val="18"/>
          <w:szCs w:val="18"/>
        </w:rPr>
      </w:pPr>
    </w:p>
    <w:p w14:paraId="64854AFE" w14:textId="68ABA4BB" w:rsidR="009F7FB5" w:rsidRPr="008B173A" w:rsidRDefault="009F7FB5" w:rsidP="000A5D50">
      <w:pPr>
        <w:keepNext/>
        <w:jc w:val="center"/>
      </w:pPr>
      <w:r w:rsidRPr="008B173A">
        <w:rPr>
          <w:noProof/>
        </w:rPr>
        <w:drawing>
          <wp:inline distT="0" distB="0" distL="0" distR="0" wp14:anchorId="4FC1B3FF" wp14:editId="23443686">
            <wp:extent cx="4364437" cy="1247387"/>
            <wp:effectExtent l="0" t="0" r="0" b="0"/>
            <wp:docPr id="6108710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71045" name="Picture 610871045"/>
                    <pic:cNvPicPr/>
                  </pic:nvPicPr>
                  <pic:blipFill rotWithShape="1">
                    <a:blip r:embed="rId10" cstate="print">
                      <a:extLst>
                        <a:ext uri="{28A0092B-C50C-407E-A947-70E740481C1C}">
                          <a14:useLocalDpi xmlns:a14="http://schemas.microsoft.com/office/drawing/2010/main" val="0"/>
                        </a:ext>
                      </a:extLst>
                    </a:blip>
                    <a:srcRect b="9223"/>
                    <a:stretch/>
                  </pic:blipFill>
                  <pic:spPr bwMode="auto">
                    <a:xfrm>
                      <a:off x="0" y="0"/>
                      <a:ext cx="4442033" cy="1269564"/>
                    </a:xfrm>
                    <a:prstGeom prst="rect">
                      <a:avLst/>
                    </a:prstGeom>
                    <a:ln>
                      <a:noFill/>
                    </a:ln>
                    <a:extLst>
                      <a:ext uri="{53640926-AAD7-44D8-BBD7-CCE9431645EC}">
                        <a14:shadowObscured xmlns:a14="http://schemas.microsoft.com/office/drawing/2010/main"/>
                      </a:ext>
                    </a:extLst>
                  </pic:spPr>
                </pic:pic>
              </a:graphicData>
            </a:graphic>
          </wp:inline>
        </w:drawing>
      </w:r>
    </w:p>
    <w:p w14:paraId="6C93F872" w14:textId="785FC275" w:rsidR="008B173A" w:rsidRPr="008B173A" w:rsidRDefault="009F7FB5" w:rsidP="008B173A">
      <w:pPr>
        <w:spacing w:after="0"/>
        <w:ind w:left="1134" w:right="1138"/>
        <w:rPr>
          <w:rFonts w:asciiTheme="majorBidi" w:hAnsiTheme="majorBidi" w:cstheme="majorBidi"/>
          <w:b/>
          <w:bCs/>
          <w:sz w:val="16"/>
          <w:szCs w:val="16"/>
        </w:rPr>
      </w:pPr>
      <w:r w:rsidRPr="008B173A">
        <w:rPr>
          <w:rFonts w:asciiTheme="majorBidi" w:hAnsiTheme="majorBidi" w:cstheme="majorBidi"/>
          <w:b/>
          <w:bCs/>
          <w:sz w:val="16"/>
          <w:szCs w:val="16"/>
        </w:rPr>
        <w:t>Fig</w:t>
      </w:r>
      <w:r w:rsidR="008B173A" w:rsidRPr="008B173A">
        <w:rPr>
          <w:rFonts w:asciiTheme="majorBidi" w:hAnsiTheme="majorBidi" w:cstheme="majorBidi"/>
          <w:b/>
          <w:bCs/>
          <w:sz w:val="16"/>
          <w:szCs w:val="16"/>
        </w:rPr>
        <w:t>. S3.</w:t>
      </w:r>
      <w:r w:rsidR="000A5D50" w:rsidRPr="008B173A">
        <w:rPr>
          <w:rFonts w:asciiTheme="majorBidi" w:hAnsiTheme="majorBidi" w:cstheme="majorBidi"/>
          <w:b/>
          <w:bCs/>
          <w:sz w:val="16"/>
          <w:szCs w:val="16"/>
        </w:rPr>
        <w:t>5</w:t>
      </w:r>
      <w:r w:rsidRPr="008B173A">
        <w:rPr>
          <w:rFonts w:asciiTheme="majorBidi" w:hAnsiTheme="majorBidi" w:cstheme="majorBidi"/>
          <w:b/>
          <w:bCs/>
          <w:sz w:val="16"/>
          <w:szCs w:val="16"/>
        </w:rPr>
        <w:t>.</w:t>
      </w:r>
      <w:r w:rsidRPr="008B173A">
        <w:rPr>
          <w:rFonts w:asciiTheme="majorBidi" w:hAnsiTheme="majorBidi" w:cstheme="majorBidi"/>
          <w:sz w:val="16"/>
          <w:szCs w:val="16"/>
        </w:rPr>
        <w:t xml:space="preserve"> </w:t>
      </w:r>
      <w:proofErr w:type="spellStart"/>
      <w:r w:rsidRPr="008B173A">
        <w:rPr>
          <w:rFonts w:asciiTheme="majorBidi" w:hAnsiTheme="majorBidi" w:cstheme="majorBidi"/>
          <w:sz w:val="16"/>
          <w:szCs w:val="16"/>
        </w:rPr>
        <w:t>WebLogo</w:t>
      </w:r>
      <w:proofErr w:type="spellEnd"/>
      <w:r w:rsidRPr="008B173A">
        <w:rPr>
          <w:rFonts w:asciiTheme="majorBidi" w:hAnsiTheme="majorBidi" w:cstheme="majorBidi"/>
          <w:sz w:val="16"/>
          <w:szCs w:val="16"/>
        </w:rPr>
        <w:t xml:space="preserve"> diagram for the 20 nucleotides upstream of</w:t>
      </w:r>
      <w:r w:rsidR="000A5D50" w:rsidRPr="008B173A">
        <w:rPr>
          <w:rFonts w:asciiTheme="majorBidi" w:hAnsiTheme="majorBidi" w:cstheme="majorBidi"/>
          <w:sz w:val="16"/>
          <w:szCs w:val="16"/>
        </w:rPr>
        <w:t xml:space="preserve"> the</w:t>
      </w:r>
      <w:r w:rsidRPr="008B173A">
        <w:rPr>
          <w:rFonts w:asciiTheme="majorBidi" w:hAnsiTheme="majorBidi" w:cstheme="majorBidi"/>
          <w:sz w:val="16"/>
          <w:szCs w:val="16"/>
        </w:rPr>
        <w:t xml:space="preserve"> </w:t>
      </w:r>
      <w:r w:rsidR="000A5D50" w:rsidRPr="008B173A">
        <w:rPr>
          <w:rFonts w:asciiTheme="majorBidi" w:hAnsiTheme="majorBidi" w:cstheme="majorBidi"/>
          <w:sz w:val="16"/>
          <w:szCs w:val="16"/>
        </w:rPr>
        <w:t xml:space="preserve">decoy </w:t>
      </w:r>
      <w:r w:rsidRPr="008B173A">
        <w:rPr>
          <w:rFonts w:asciiTheme="majorBidi" w:hAnsiTheme="majorBidi" w:cstheme="majorBidi"/>
          <w:sz w:val="16"/>
          <w:szCs w:val="16"/>
        </w:rPr>
        <w:t>pre-miRNAs in the negative datasets</w:t>
      </w:r>
      <w:r w:rsidR="008B173A" w:rsidRPr="008B173A">
        <w:rPr>
          <w:rFonts w:asciiTheme="majorBidi" w:hAnsiTheme="majorBidi" w:cstheme="majorBidi"/>
          <w:sz w:val="16"/>
          <w:szCs w:val="16"/>
        </w:rPr>
        <w:t xml:space="preserve">. The height of each column at each position represents the information level at that position (in bits). </w:t>
      </w:r>
    </w:p>
    <w:p w14:paraId="3A59178E" w14:textId="03AF2ED2" w:rsidR="009F7FB5" w:rsidRDefault="009F7FB5" w:rsidP="008B173A">
      <w:pPr>
        <w:pStyle w:val="Caption"/>
        <w:spacing w:after="0"/>
        <w:rPr>
          <w:rFonts w:asciiTheme="majorBidi" w:hAnsiTheme="majorBidi" w:cstheme="majorBidi"/>
          <w:i w:val="0"/>
          <w:iCs w:val="0"/>
          <w:color w:val="auto"/>
          <w:sz w:val="16"/>
          <w:szCs w:val="16"/>
        </w:rPr>
      </w:pPr>
    </w:p>
    <w:p w14:paraId="012411D1" w14:textId="5FCC40F0" w:rsidR="008B173A" w:rsidRPr="008B173A" w:rsidRDefault="008B173A" w:rsidP="008B173A">
      <w:pPr>
        <w:rPr>
          <w:rFonts w:asciiTheme="majorBidi" w:hAnsiTheme="majorBidi" w:cstheme="majorBidi"/>
        </w:rPr>
      </w:pPr>
    </w:p>
    <w:p w14:paraId="2E31E3C1" w14:textId="533EF003" w:rsidR="008B173A" w:rsidRDefault="00B42C87" w:rsidP="00B42C87">
      <w:pPr>
        <w:jc w:val="both"/>
        <w:rPr>
          <w:rFonts w:asciiTheme="majorBidi" w:hAnsiTheme="majorBidi" w:cstheme="majorBidi"/>
        </w:rPr>
      </w:pPr>
      <w:r w:rsidRPr="00B42C87">
        <w:rPr>
          <w:rFonts w:asciiTheme="majorBidi" w:hAnsiTheme="majorBidi" w:cstheme="majorBidi"/>
        </w:rPr>
        <w:lastRenderedPageBreak/>
        <w:t xml:space="preserve">To better understand the results, we also used </w:t>
      </w:r>
      <w:proofErr w:type="spellStart"/>
      <w:r w:rsidRPr="00B42C87">
        <w:rPr>
          <w:rFonts w:asciiTheme="majorBidi" w:hAnsiTheme="majorBidi" w:cstheme="majorBidi"/>
        </w:rPr>
        <w:t>WebLogo</w:t>
      </w:r>
      <w:proofErr w:type="spellEnd"/>
      <w:r w:rsidRPr="00B42C87">
        <w:rPr>
          <w:rFonts w:asciiTheme="majorBidi" w:hAnsiTheme="majorBidi" w:cstheme="majorBidi"/>
        </w:rPr>
        <w:t xml:space="preserve"> to calculate the level of conservation in each sequence set as the percentage of nucleotides at each position. Figures S3.</w:t>
      </w:r>
      <w:r>
        <w:rPr>
          <w:rFonts w:asciiTheme="majorBidi" w:hAnsiTheme="majorBidi" w:cstheme="majorBidi"/>
        </w:rPr>
        <w:t>6</w:t>
      </w:r>
      <w:r w:rsidRPr="00B42C87">
        <w:rPr>
          <w:rFonts w:asciiTheme="majorBidi" w:hAnsiTheme="majorBidi" w:cstheme="majorBidi"/>
        </w:rPr>
        <w:t>-S3.</w:t>
      </w:r>
      <w:r>
        <w:rPr>
          <w:rFonts w:asciiTheme="majorBidi" w:hAnsiTheme="majorBidi" w:cstheme="majorBidi"/>
        </w:rPr>
        <w:t>9</w:t>
      </w:r>
      <w:r w:rsidRPr="00B42C87">
        <w:rPr>
          <w:rFonts w:asciiTheme="majorBidi" w:hAnsiTheme="majorBidi" w:cstheme="majorBidi"/>
        </w:rPr>
        <w:t xml:space="preserve"> show the results of this analysis, which suggest that each set has a more-or-less uniform distribution of nucleotides along the 20 nt sequence. This observation confirms that the percentage of the four nucleotides at each position is mainly determined by the inherent nucleotide composition of the dataset at that region, and no specific conservedness pattern is observed among sequences.</w:t>
      </w:r>
    </w:p>
    <w:p w14:paraId="308A8386" w14:textId="77777777" w:rsidR="00B42C87" w:rsidRDefault="00B42C87" w:rsidP="00B42C87">
      <w:pPr>
        <w:jc w:val="both"/>
        <w:rPr>
          <w:rFonts w:asciiTheme="majorBidi" w:hAnsiTheme="majorBidi" w:cstheme="majorBidi"/>
        </w:rPr>
      </w:pPr>
    </w:p>
    <w:p w14:paraId="15BE1944" w14:textId="77777777" w:rsidR="00B42C87" w:rsidRDefault="008B173A" w:rsidP="00B42C87">
      <w:pPr>
        <w:keepNext/>
        <w:spacing w:after="0"/>
        <w:jc w:val="center"/>
      </w:pPr>
      <w:r>
        <w:rPr>
          <w:rFonts w:asciiTheme="majorBidi" w:hAnsiTheme="majorBidi" w:cstheme="majorBidi" w:hint="cs"/>
          <w:noProof/>
        </w:rPr>
        <w:drawing>
          <wp:inline distT="0" distB="0" distL="0" distR="0" wp14:anchorId="15156A4C" wp14:editId="71119B6D">
            <wp:extent cx="32258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9887"/>
                    <a:stretch/>
                  </pic:blipFill>
                  <pic:spPr bwMode="auto">
                    <a:xfrm>
                      <a:off x="0" y="0"/>
                      <a:ext cx="3225800"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213CF355" w14:textId="2882B690" w:rsidR="00B42C87" w:rsidRPr="00B42C87" w:rsidRDefault="00B42C87" w:rsidP="00B42C87">
      <w:pPr>
        <w:spacing w:after="0"/>
        <w:ind w:left="1985" w:right="1989"/>
        <w:jc w:val="both"/>
        <w:rPr>
          <w:rFonts w:asciiTheme="majorBidi" w:hAnsiTheme="majorBidi" w:cstheme="majorBidi"/>
          <w:b/>
          <w:bCs/>
          <w:sz w:val="16"/>
          <w:szCs w:val="16"/>
        </w:rPr>
      </w:pPr>
      <w:r w:rsidRPr="00BF253B">
        <w:rPr>
          <w:rFonts w:asciiTheme="majorBidi" w:hAnsiTheme="majorBidi" w:cstheme="majorBidi"/>
          <w:b/>
          <w:bCs/>
          <w:sz w:val="16"/>
          <w:szCs w:val="16"/>
        </w:rPr>
        <w:t>Fig. S3.</w:t>
      </w:r>
      <w:r>
        <w:rPr>
          <w:rFonts w:asciiTheme="majorBidi" w:hAnsiTheme="majorBidi" w:cstheme="majorBidi"/>
          <w:b/>
          <w:bCs/>
          <w:sz w:val="16"/>
          <w:szCs w:val="16"/>
        </w:rPr>
        <w:t>6</w:t>
      </w:r>
      <w:r w:rsidRPr="00BF253B">
        <w:rPr>
          <w:rFonts w:asciiTheme="majorBidi" w:hAnsiTheme="majorBidi" w:cstheme="majorBidi"/>
          <w:b/>
          <w:bCs/>
          <w:sz w:val="16"/>
          <w:szCs w:val="16"/>
        </w:rPr>
        <w:t>.</w:t>
      </w:r>
      <w:r w:rsidRPr="00B42C87">
        <w:rPr>
          <w:rFonts w:asciiTheme="majorBidi" w:hAnsiTheme="majorBidi" w:cstheme="majorBidi"/>
          <w:b/>
          <w:bCs/>
          <w:sz w:val="16"/>
          <w:szCs w:val="16"/>
        </w:rPr>
        <w:t xml:space="preserve"> </w:t>
      </w:r>
      <w:proofErr w:type="spellStart"/>
      <w:r w:rsidRPr="00B42C87">
        <w:rPr>
          <w:rFonts w:asciiTheme="majorBidi" w:hAnsiTheme="majorBidi" w:cstheme="majorBidi"/>
          <w:sz w:val="16"/>
          <w:szCs w:val="16"/>
        </w:rPr>
        <w:t>WebLogo</w:t>
      </w:r>
      <w:proofErr w:type="spellEnd"/>
      <w:r w:rsidRPr="00B42C87">
        <w:rPr>
          <w:rFonts w:asciiTheme="majorBidi" w:hAnsiTheme="majorBidi" w:cstheme="majorBidi"/>
          <w:sz w:val="16"/>
          <w:szCs w:val="16"/>
        </w:rPr>
        <w:t xml:space="preserve"> diagram for the 20 nucleotides downstream of the pre-miRNAs in the positive datasets. The height of each column at each position represents the information level at that position (in percentage of nucleotides).</w:t>
      </w:r>
      <w:r w:rsidRPr="00B42C87">
        <w:rPr>
          <w:rFonts w:asciiTheme="majorBidi" w:hAnsiTheme="majorBidi" w:cstheme="majorBidi"/>
          <w:b/>
          <w:bCs/>
          <w:sz w:val="16"/>
          <w:szCs w:val="16"/>
        </w:rPr>
        <w:t xml:space="preserve"> </w:t>
      </w:r>
    </w:p>
    <w:p w14:paraId="05ECD723" w14:textId="77777777" w:rsidR="00787569" w:rsidRDefault="00787569" w:rsidP="00B42C87">
      <w:pPr>
        <w:jc w:val="center"/>
        <w:rPr>
          <w:rFonts w:asciiTheme="majorBidi" w:hAnsiTheme="majorBidi" w:cstheme="majorBidi"/>
        </w:rPr>
      </w:pPr>
    </w:p>
    <w:p w14:paraId="7EA50FD8" w14:textId="77777777" w:rsidR="00B42C87" w:rsidRDefault="008B173A" w:rsidP="00B42C87">
      <w:pPr>
        <w:keepNext/>
        <w:spacing w:after="0"/>
        <w:jc w:val="center"/>
      </w:pPr>
      <w:r>
        <w:rPr>
          <w:rFonts w:asciiTheme="majorBidi" w:hAnsiTheme="majorBidi" w:cstheme="majorBidi"/>
          <w:noProof/>
        </w:rPr>
        <w:drawing>
          <wp:inline distT="0" distB="0" distL="0" distR="0" wp14:anchorId="2230B1BE" wp14:editId="1898FC33">
            <wp:extent cx="3225800" cy="90879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0440"/>
                    <a:stretch/>
                  </pic:blipFill>
                  <pic:spPr bwMode="auto">
                    <a:xfrm>
                      <a:off x="0" y="0"/>
                      <a:ext cx="3225800" cy="908790"/>
                    </a:xfrm>
                    <a:prstGeom prst="rect">
                      <a:avLst/>
                    </a:prstGeom>
                    <a:noFill/>
                    <a:ln>
                      <a:noFill/>
                    </a:ln>
                    <a:extLst>
                      <a:ext uri="{53640926-AAD7-44D8-BBD7-CCE9431645EC}">
                        <a14:shadowObscured xmlns:a14="http://schemas.microsoft.com/office/drawing/2010/main"/>
                      </a:ext>
                    </a:extLst>
                  </pic:spPr>
                </pic:pic>
              </a:graphicData>
            </a:graphic>
          </wp:inline>
        </w:drawing>
      </w:r>
    </w:p>
    <w:p w14:paraId="19D94444" w14:textId="47DBB050" w:rsidR="00B42C87" w:rsidRPr="00B42C87" w:rsidRDefault="00B42C87" w:rsidP="00B42C87">
      <w:pPr>
        <w:spacing w:after="0"/>
        <w:ind w:left="1985" w:right="1989"/>
        <w:jc w:val="both"/>
        <w:rPr>
          <w:rFonts w:asciiTheme="majorBidi" w:hAnsiTheme="majorBidi" w:cstheme="majorBidi"/>
          <w:sz w:val="16"/>
          <w:szCs w:val="16"/>
        </w:rPr>
      </w:pPr>
      <w:r w:rsidRPr="008B173A">
        <w:rPr>
          <w:rFonts w:asciiTheme="majorBidi" w:hAnsiTheme="majorBidi" w:cstheme="majorBidi"/>
          <w:b/>
          <w:bCs/>
          <w:sz w:val="16"/>
          <w:szCs w:val="16"/>
        </w:rPr>
        <w:t>Fig. S3.</w:t>
      </w:r>
      <w:r>
        <w:rPr>
          <w:rFonts w:asciiTheme="majorBidi" w:hAnsiTheme="majorBidi" w:cstheme="majorBidi"/>
          <w:b/>
          <w:bCs/>
          <w:sz w:val="16"/>
          <w:szCs w:val="16"/>
        </w:rPr>
        <w:t>7</w:t>
      </w:r>
      <w:r w:rsidRPr="008B173A">
        <w:rPr>
          <w:rFonts w:asciiTheme="majorBidi" w:hAnsiTheme="majorBidi" w:cstheme="majorBidi"/>
          <w:b/>
          <w:bCs/>
          <w:sz w:val="16"/>
          <w:szCs w:val="16"/>
        </w:rPr>
        <w:t>.</w:t>
      </w:r>
      <w:r w:rsidRPr="00B42C87">
        <w:rPr>
          <w:rFonts w:asciiTheme="majorBidi" w:hAnsiTheme="majorBidi" w:cstheme="majorBidi"/>
          <w:b/>
          <w:bCs/>
          <w:sz w:val="16"/>
          <w:szCs w:val="16"/>
        </w:rPr>
        <w:t xml:space="preserve"> </w:t>
      </w:r>
      <w:proofErr w:type="spellStart"/>
      <w:r w:rsidRPr="00B42C87">
        <w:rPr>
          <w:rFonts w:asciiTheme="majorBidi" w:hAnsiTheme="majorBidi" w:cstheme="majorBidi"/>
          <w:sz w:val="16"/>
          <w:szCs w:val="16"/>
        </w:rPr>
        <w:t>WebLogo</w:t>
      </w:r>
      <w:proofErr w:type="spellEnd"/>
      <w:r w:rsidRPr="00B42C87">
        <w:rPr>
          <w:rFonts w:asciiTheme="majorBidi" w:hAnsiTheme="majorBidi" w:cstheme="majorBidi"/>
          <w:sz w:val="16"/>
          <w:szCs w:val="16"/>
        </w:rPr>
        <w:t xml:space="preserve"> diagram for the 20 nucleotides upstream of the pre-miRNAs in the positive datasets. The height of each column at each position represents the information level at that position (in percentage of nucleotides). </w:t>
      </w:r>
    </w:p>
    <w:p w14:paraId="2A369401" w14:textId="3F1C9DBA" w:rsidR="00B42C87" w:rsidRPr="008B173A" w:rsidRDefault="00B42C87" w:rsidP="00B42C87">
      <w:pPr>
        <w:spacing w:after="0"/>
        <w:ind w:left="1134" w:right="1138"/>
        <w:rPr>
          <w:rFonts w:asciiTheme="majorBidi" w:hAnsiTheme="majorBidi" w:cstheme="majorBidi"/>
          <w:sz w:val="16"/>
          <w:szCs w:val="16"/>
        </w:rPr>
      </w:pPr>
    </w:p>
    <w:p w14:paraId="5E2B4E7C" w14:textId="1B980D45" w:rsidR="008B173A" w:rsidRDefault="008B173A" w:rsidP="00B42C87">
      <w:pPr>
        <w:jc w:val="center"/>
        <w:rPr>
          <w:rFonts w:asciiTheme="majorBidi" w:hAnsiTheme="majorBidi" w:cstheme="majorBidi"/>
        </w:rPr>
      </w:pPr>
    </w:p>
    <w:p w14:paraId="432982A0" w14:textId="77777777" w:rsidR="00B42C87" w:rsidRDefault="008B173A" w:rsidP="00B42C87">
      <w:pPr>
        <w:keepNext/>
        <w:spacing w:after="0"/>
        <w:jc w:val="center"/>
      </w:pPr>
      <w:r>
        <w:rPr>
          <w:rFonts w:asciiTheme="majorBidi" w:hAnsiTheme="majorBidi" w:cstheme="majorBidi"/>
          <w:noProof/>
        </w:rPr>
        <w:drawing>
          <wp:inline distT="0" distB="0" distL="0" distR="0" wp14:anchorId="2E978301" wp14:editId="073C1922">
            <wp:extent cx="3225800" cy="90879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0440"/>
                    <a:stretch/>
                  </pic:blipFill>
                  <pic:spPr bwMode="auto">
                    <a:xfrm>
                      <a:off x="0" y="0"/>
                      <a:ext cx="3225800" cy="908790"/>
                    </a:xfrm>
                    <a:prstGeom prst="rect">
                      <a:avLst/>
                    </a:prstGeom>
                    <a:noFill/>
                    <a:ln>
                      <a:noFill/>
                    </a:ln>
                    <a:extLst>
                      <a:ext uri="{53640926-AAD7-44D8-BBD7-CCE9431645EC}">
                        <a14:shadowObscured xmlns:a14="http://schemas.microsoft.com/office/drawing/2010/main"/>
                      </a:ext>
                    </a:extLst>
                  </pic:spPr>
                </pic:pic>
              </a:graphicData>
            </a:graphic>
          </wp:inline>
        </w:drawing>
      </w:r>
    </w:p>
    <w:p w14:paraId="786BBE96" w14:textId="04B2502C" w:rsidR="00B42C87" w:rsidRPr="008B173A" w:rsidRDefault="00B42C87" w:rsidP="00B42C87">
      <w:pPr>
        <w:spacing w:after="0"/>
        <w:ind w:left="1985" w:right="1989"/>
        <w:jc w:val="both"/>
        <w:rPr>
          <w:rFonts w:asciiTheme="majorBidi" w:hAnsiTheme="majorBidi" w:cstheme="majorBidi"/>
          <w:b/>
          <w:bCs/>
          <w:sz w:val="16"/>
          <w:szCs w:val="16"/>
        </w:rPr>
      </w:pPr>
      <w:r w:rsidRPr="008B173A">
        <w:rPr>
          <w:rFonts w:asciiTheme="majorBidi" w:hAnsiTheme="majorBidi" w:cstheme="majorBidi"/>
          <w:b/>
          <w:bCs/>
          <w:sz w:val="16"/>
          <w:szCs w:val="16"/>
        </w:rPr>
        <w:t>Fig. S3.</w:t>
      </w:r>
      <w:r>
        <w:rPr>
          <w:rFonts w:asciiTheme="majorBidi" w:hAnsiTheme="majorBidi" w:cstheme="majorBidi"/>
          <w:b/>
          <w:bCs/>
          <w:sz w:val="16"/>
          <w:szCs w:val="16"/>
        </w:rPr>
        <w:t>8</w:t>
      </w:r>
      <w:r w:rsidRPr="008B173A">
        <w:rPr>
          <w:rFonts w:asciiTheme="majorBidi" w:hAnsiTheme="majorBidi" w:cstheme="majorBidi"/>
          <w:b/>
          <w:bCs/>
          <w:sz w:val="16"/>
          <w:szCs w:val="16"/>
        </w:rPr>
        <w:t>.</w:t>
      </w:r>
      <w:r w:rsidRPr="00B42C87">
        <w:rPr>
          <w:rFonts w:asciiTheme="majorBidi" w:hAnsiTheme="majorBidi" w:cstheme="majorBidi"/>
          <w:sz w:val="16"/>
          <w:szCs w:val="16"/>
        </w:rPr>
        <w:t xml:space="preserve"> </w:t>
      </w:r>
      <w:proofErr w:type="spellStart"/>
      <w:r w:rsidRPr="00B42C87">
        <w:rPr>
          <w:rFonts w:asciiTheme="majorBidi" w:hAnsiTheme="majorBidi" w:cstheme="majorBidi"/>
          <w:sz w:val="16"/>
          <w:szCs w:val="16"/>
        </w:rPr>
        <w:t>WebLogo</w:t>
      </w:r>
      <w:proofErr w:type="spellEnd"/>
      <w:r w:rsidRPr="00B42C87">
        <w:rPr>
          <w:rFonts w:asciiTheme="majorBidi" w:hAnsiTheme="majorBidi" w:cstheme="majorBidi"/>
          <w:sz w:val="16"/>
          <w:szCs w:val="16"/>
        </w:rPr>
        <w:t xml:space="preserve"> diagram for the 20 nucleotides downstream of the decoy</w:t>
      </w:r>
      <w:r>
        <w:rPr>
          <w:rFonts w:asciiTheme="majorBidi" w:hAnsiTheme="majorBidi" w:cstheme="majorBidi"/>
          <w:sz w:val="16"/>
          <w:szCs w:val="16"/>
        </w:rPr>
        <w:br/>
      </w:r>
      <w:r w:rsidRPr="00B42C87">
        <w:rPr>
          <w:rFonts w:asciiTheme="majorBidi" w:hAnsiTheme="majorBidi" w:cstheme="majorBidi"/>
          <w:sz w:val="16"/>
          <w:szCs w:val="16"/>
        </w:rPr>
        <w:t>pre-miRNAs in the negative datasets. The height of each column at each position represents the information level at that position (in percentage of nucleotides).</w:t>
      </w:r>
    </w:p>
    <w:p w14:paraId="3E907658" w14:textId="4228376B" w:rsidR="008B173A" w:rsidRDefault="008B173A" w:rsidP="00B42C87">
      <w:pPr>
        <w:jc w:val="center"/>
        <w:rPr>
          <w:rFonts w:asciiTheme="majorBidi" w:hAnsiTheme="majorBidi" w:cstheme="majorBidi"/>
        </w:rPr>
      </w:pPr>
    </w:p>
    <w:p w14:paraId="38724AAE" w14:textId="77777777" w:rsidR="00B42C87" w:rsidRDefault="008B173A" w:rsidP="00B42C87">
      <w:pPr>
        <w:keepNext/>
        <w:spacing w:after="0"/>
        <w:jc w:val="center"/>
      </w:pPr>
      <w:r>
        <w:rPr>
          <w:rFonts w:asciiTheme="majorBidi" w:hAnsiTheme="majorBidi" w:cstheme="majorBidi"/>
          <w:noProof/>
        </w:rPr>
        <w:drawing>
          <wp:inline distT="0" distB="0" distL="0" distR="0" wp14:anchorId="4F1EC2DF" wp14:editId="06C86EA0">
            <wp:extent cx="3225800" cy="90879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0440"/>
                    <a:stretch/>
                  </pic:blipFill>
                  <pic:spPr bwMode="auto">
                    <a:xfrm>
                      <a:off x="0" y="0"/>
                      <a:ext cx="3225800" cy="908790"/>
                    </a:xfrm>
                    <a:prstGeom prst="rect">
                      <a:avLst/>
                    </a:prstGeom>
                    <a:noFill/>
                    <a:ln>
                      <a:noFill/>
                    </a:ln>
                    <a:extLst>
                      <a:ext uri="{53640926-AAD7-44D8-BBD7-CCE9431645EC}">
                        <a14:shadowObscured xmlns:a14="http://schemas.microsoft.com/office/drawing/2010/main"/>
                      </a:ext>
                    </a:extLst>
                  </pic:spPr>
                </pic:pic>
              </a:graphicData>
            </a:graphic>
          </wp:inline>
        </w:drawing>
      </w:r>
    </w:p>
    <w:p w14:paraId="42F66677" w14:textId="55059C03" w:rsidR="00B42C87" w:rsidRPr="00B42C87" w:rsidRDefault="00B42C87" w:rsidP="00B42C87">
      <w:pPr>
        <w:spacing w:after="0"/>
        <w:ind w:left="1985" w:right="1989"/>
        <w:jc w:val="both"/>
        <w:rPr>
          <w:rFonts w:asciiTheme="majorBidi" w:hAnsiTheme="majorBidi" w:cstheme="majorBidi"/>
          <w:sz w:val="16"/>
          <w:szCs w:val="16"/>
        </w:rPr>
      </w:pPr>
      <w:r w:rsidRPr="008B173A">
        <w:rPr>
          <w:rFonts w:asciiTheme="majorBidi" w:hAnsiTheme="majorBidi" w:cstheme="majorBidi"/>
          <w:b/>
          <w:bCs/>
          <w:sz w:val="16"/>
          <w:szCs w:val="16"/>
        </w:rPr>
        <w:t>Fig. S3.</w:t>
      </w:r>
      <w:r>
        <w:rPr>
          <w:rFonts w:asciiTheme="majorBidi" w:hAnsiTheme="majorBidi" w:cstheme="majorBidi"/>
          <w:b/>
          <w:bCs/>
          <w:sz w:val="16"/>
          <w:szCs w:val="16"/>
        </w:rPr>
        <w:t>9</w:t>
      </w:r>
      <w:r w:rsidRPr="008B173A">
        <w:rPr>
          <w:rFonts w:asciiTheme="majorBidi" w:hAnsiTheme="majorBidi" w:cstheme="majorBidi"/>
          <w:b/>
          <w:bCs/>
          <w:sz w:val="16"/>
          <w:szCs w:val="16"/>
        </w:rPr>
        <w:t>.</w:t>
      </w:r>
      <w:r w:rsidRPr="008B173A">
        <w:rPr>
          <w:rFonts w:asciiTheme="majorBidi" w:hAnsiTheme="majorBidi" w:cstheme="majorBidi"/>
          <w:sz w:val="16"/>
          <w:szCs w:val="16"/>
        </w:rPr>
        <w:t xml:space="preserve"> </w:t>
      </w:r>
      <w:proofErr w:type="spellStart"/>
      <w:r w:rsidRPr="00B42C87">
        <w:rPr>
          <w:rFonts w:asciiTheme="majorBidi" w:hAnsiTheme="majorBidi" w:cstheme="majorBidi"/>
          <w:sz w:val="16"/>
          <w:szCs w:val="16"/>
        </w:rPr>
        <w:t>WebLogo</w:t>
      </w:r>
      <w:proofErr w:type="spellEnd"/>
      <w:r w:rsidRPr="00B42C87">
        <w:rPr>
          <w:rFonts w:asciiTheme="majorBidi" w:hAnsiTheme="majorBidi" w:cstheme="majorBidi"/>
          <w:sz w:val="16"/>
          <w:szCs w:val="16"/>
        </w:rPr>
        <w:t xml:space="preserve"> diagram for the 20 nucleotides upstream of the decoy</w:t>
      </w:r>
      <w:r>
        <w:rPr>
          <w:rFonts w:asciiTheme="majorBidi" w:hAnsiTheme="majorBidi" w:cstheme="majorBidi"/>
          <w:sz w:val="16"/>
          <w:szCs w:val="16"/>
        </w:rPr>
        <w:br/>
      </w:r>
      <w:r w:rsidRPr="00B42C87">
        <w:rPr>
          <w:rFonts w:asciiTheme="majorBidi" w:hAnsiTheme="majorBidi" w:cstheme="majorBidi"/>
          <w:sz w:val="16"/>
          <w:szCs w:val="16"/>
        </w:rPr>
        <w:t>pre-miRNAs in the negative datasets. The height of each column at each position represents the information level at that position (in percentage of nucleotides).</w:t>
      </w:r>
    </w:p>
    <w:p w14:paraId="213DCEB7" w14:textId="5B2FF55B" w:rsidR="00B42C87" w:rsidRDefault="00B42C87" w:rsidP="00B42C87">
      <w:pPr>
        <w:jc w:val="center"/>
        <w:rPr>
          <w:rFonts w:asciiTheme="majorBidi" w:hAnsiTheme="majorBidi" w:cstheme="majorBidi"/>
        </w:rPr>
      </w:pPr>
    </w:p>
    <w:p w14:paraId="59E48AB6" w14:textId="77777777" w:rsidR="00B42C87" w:rsidRPr="008B173A" w:rsidRDefault="00B42C87" w:rsidP="00B42C87">
      <w:pPr>
        <w:jc w:val="center"/>
        <w:rPr>
          <w:rFonts w:asciiTheme="majorBidi" w:hAnsiTheme="majorBidi" w:cstheme="majorBidi"/>
          <w:rtl/>
        </w:rPr>
      </w:pPr>
    </w:p>
    <w:sectPr w:rsidR="00B42C87" w:rsidRPr="008B173A">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E9D40" w14:textId="77777777" w:rsidR="00201AB6" w:rsidRDefault="00201AB6" w:rsidP="000C7251">
      <w:pPr>
        <w:spacing w:after="0" w:line="240" w:lineRule="auto"/>
      </w:pPr>
      <w:r>
        <w:separator/>
      </w:r>
    </w:p>
  </w:endnote>
  <w:endnote w:type="continuationSeparator" w:id="0">
    <w:p w14:paraId="4512D938" w14:textId="77777777" w:rsidR="00201AB6" w:rsidRDefault="00201AB6" w:rsidP="000C7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858506"/>
      <w:docPartObj>
        <w:docPartGallery w:val="Page Numbers (Bottom of Page)"/>
        <w:docPartUnique/>
      </w:docPartObj>
    </w:sdtPr>
    <w:sdtEndPr>
      <w:rPr>
        <w:noProof/>
      </w:rPr>
    </w:sdtEndPr>
    <w:sdtContent>
      <w:p w14:paraId="3953006D" w14:textId="10B4C631" w:rsidR="000C7251" w:rsidRDefault="000C72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7DBC1D" w14:textId="77777777" w:rsidR="000C7251" w:rsidRDefault="000C7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9EFC2" w14:textId="77777777" w:rsidR="00201AB6" w:rsidRDefault="00201AB6" w:rsidP="000C7251">
      <w:pPr>
        <w:spacing w:after="0" w:line="240" w:lineRule="auto"/>
      </w:pPr>
      <w:r>
        <w:separator/>
      </w:r>
    </w:p>
  </w:footnote>
  <w:footnote w:type="continuationSeparator" w:id="0">
    <w:p w14:paraId="059C0EB8" w14:textId="77777777" w:rsidR="00201AB6" w:rsidRDefault="00201AB6" w:rsidP="000C72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3NrEwMjU3MDU0MbFU0lEKTi0uzszPAykwqQUAaLf6QCwAAAA="/>
  </w:docVars>
  <w:rsids>
    <w:rsidRoot w:val="00FD4B05"/>
    <w:rsid w:val="000A5D50"/>
    <w:rsid w:val="000C7251"/>
    <w:rsid w:val="0011328C"/>
    <w:rsid w:val="001A3B53"/>
    <w:rsid w:val="001D13DF"/>
    <w:rsid w:val="00201AB6"/>
    <w:rsid w:val="002911A0"/>
    <w:rsid w:val="0029642D"/>
    <w:rsid w:val="003A4DA2"/>
    <w:rsid w:val="00425AD8"/>
    <w:rsid w:val="004B7624"/>
    <w:rsid w:val="00542119"/>
    <w:rsid w:val="00593A60"/>
    <w:rsid w:val="005B0249"/>
    <w:rsid w:val="006A0295"/>
    <w:rsid w:val="00787569"/>
    <w:rsid w:val="00860D04"/>
    <w:rsid w:val="00875647"/>
    <w:rsid w:val="008774D8"/>
    <w:rsid w:val="008974DA"/>
    <w:rsid w:val="008B173A"/>
    <w:rsid w:val="009623F0"/>
    <w:rsid w:val="009F7FB5"/>
    <w:rsid w:val="00B42C87"/>
    <w:rsid w:val="00B75263"/>
    <w:rsid w:val="00BF253B"/>
    <w:rsid w:val="00C12197"/>
    <w:rsid w:val="00CE0768"/>
    <w:rsid w:val="00E36AC4"/>
    <w:rsid w:val="00FD4B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23FE"/>
  <w15:chartTrackingRefBased/>
  <w15:docId w15:val="{38C53F84-0771-4965-9553-962AAA23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774D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C7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251"/>
  </w:style>
  <w:style w:type="paragraph" w:styleId="Footer">
    <w:name w:val="footer"/>
    <w:basedOn w:val="Normal"/>
    <w:link w:val="FooterChar"/>
    <w:uiPriority w:val="99"/>
    <w:unhideWhenUsed/>
    <w:rsid w:val="000C7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 Ataei</dc:creator>
  <cp:keywords/>
  <dc:description/>
  <cp:lastModifiedBy>Sob. Ataei</cp:lastModifiedBy>
  <cp:revision>19</cp:revision>
  <dcterms:created xsi:type="dcterms:W3CDTF">2023-08-28T22:20:00Z</dcterms:created>
  <dcterms:modified xsi:type="dcterms:W3CDTF">2023-12-23T20:58:00Z</dcterms:modified>
</cp:coreProperties>
</file>