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20" w:name="введение"/>
    <w:p>
      <w:pPr>
        <w:pStyle w:val="Heading1"/>
      </w:pPr>
      <w:r>
        <w:t xml:space="preserve">Введение</w:t>
      </w:r>
    </w:p>
    <w:p>
      <w:pPr>
        <w:pStyle w:val="FirstParagraph"/>
      </w:pPr>
      <w:r>
        <w:t xml:space="preserve">Мидиевые скопление соединенных между собой биссусными нитями, так же известным как друзы, являются консорцием с ярко выраженными топическими связями</w:t>
      </w:r>
      <w:r>
        <w:t xml:space="preserve"> </w:t>
      </w:r>
      <w:r>
        <w:t xml:space="preserve">[13]</w:t>
      </w:r>
      <w:r>
        <w:t xml:space="preserve">.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w:t>
      </w:r>
      <w:r>
        <w:t xml:space="preserve"> </w:t>
      </w:r>
      <w:r>
        <w:t xml:space="preserve">[10]</w:t>
      </w:r>
      <w:r>
        <w:t xml:space="preserve">. Консортантами в этих связях, могут выступать различные беспозвоночные организмы такие как полихеты трубкостроители, ракообразные, олигохеты</w:t>
      </w:r>
      <w:r>
        <w:t xml:space="preserve"> </w:t>
      </w:r>
      <w:r>
        <w:t xml:space="preserve">[2, 9, 20]</w:t>
      </w:r>
      <w:r>
        <w:t xml:space="preserve">. Консортантов в подобных связях может привлекать предоставляемые им детерминаторами убежище от своих естественных врагов, создаваемый субстрат и пища.</w:t>
      </w:r>
      <w:r>
        <w:t xml:space="preserve"> </w:t>
      </w:r>
      <w:r>
        <w:t xml:space="preserve">[17, 18]</w:t>
      </w:r>
      <w:r>
        <w:t xml:space="preserve">. Мидии являясь активными биоседиментаторами</w:t>
      </w:r>
      <w:r>
        <w:t xml:space="preserve"> </w:t>
      </w:r>
      <w:r>
        <w:t xml:space="preserve">[9]</w:t>
      </w:r>
      <w:r>
        <w:t xml:space="preserve"> </w:t>
      </w:r>
      <w:r>
        <w:t xml:space="preserve">способствуют накоплению в друзах осадка, который может привлекать консортантов.</w:t>
      </w:r>
    </w:p>
    <w:p>
      <w:pPr>
        <w:pStyle w:val="BodyText"/>
      </w:pPr>
      <w:r>
        <w:t xml:space="preserve">Одними из наиболее многочисленных форм, населяющих скопления мидий, оказываются брюхоногие моллюски (представители семейства</w:t>
      </w:r>
      <w:r>
        <w:t xml:space="preserve"> </w:t>
      </w:r>
      <w:r>
        <w:rPr>
          <w:iCs/>
          <w:i/>
        </w:rPr>
        <w:t xml:space="preserve">Littorinidae</w:t>
      </w:r>
      <w:r>
        <w:t xml:space="preserve"> </w:t>
      </w:r>
      <w:r>
        <w:t xml:space="preserve">и</w:t>
      </w:r>
      <w:r>
        <w:t xml:space="preserve"> </w:t>
      </w:r>
      <w:r>
        <w:rPr>
          <w:iCs/>
          <w:i/>
        </w:rPr>
        <w:t xml:space="preserve">Hydrobiidae</w:t>
      </w:r>
      <w:r>
        <w:t xml:space="preserve">). В работе В. М. Хайтова и А. В. Артемьева</w:t>
      </w:r>
      <w:r>
        <w:t xml:space="preserve"> </w:t>
      </w:r>
      <w:r>
        <w:t xml:space="preserve">[21]</w:t>
      </w:r>
      <w:r>
        <w:t xml:space="preserve"> </w:t>
      </w:r>
      <w:r>
        <w:t xml:space="preserve">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доказатеьств в пользу этой гипотезы не было найденно. В работе Кириловой</w:t>
      </w:r>
      <w:r>
        <w:t xml:space="preserve"> </w:t>
      </w:r>
      <w:r>
        <w:t xml:space="preserve">[16]</w:t>
      </w:r>
      <w:r>
        <w:t xml:space="preserve"> </w:t>
      </w:r>
      <w:r>
        <w:t xml:space="preserve">изучался выбор субстрата брюхоногими моллюсками</w:t>
      </w:r>
      <w:r>
        <w:t xml:space="preserve"> </w:t>
      </w:r>
      <w:r>
        <w:rPr>
          <w:iCs/>
          <w:i/>
        </w:rPr>
        <w:t xml:space="preserve">Littorina</w:t>
      </w:r>
      <w:r>
        <w:t xml:space="preserve"> </w:t>
      </w:r>
      <w:r>
        <w:t xml:space="preserve">и</w:t>
      </w:r>
      <w:r>
        <w:t xml:space="preserve"> </w:t>
      </w:r>
      <w:r>
        <w:rPr>
          <w:iCs/>
          <w:i/>
        </w:rPr>
        <w:t xml:space="preserve">Hydrobia</w:t>
      </w:r>
      <w:r>
        <w:t xml:space="preserve">. В этойс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pPr>
        <w:pStyle w:val="BodyText"/>
      </w:pPr>
      <w:r>
        <w:t xml:space="preserve">По сути дела, изучая влияние мидий на улиток, мы проводим анализ воздействия экологического фактора, имеющего биотическую природу</w:t>
      </w:r>
      <w:r>
        <w:t xml:space="preserve"> </w:t>
      </w:r>
      <w:r>
        <w:t xml:space="preserve">[12, 14]</w:t>
      </w:r>
      <w:r>
        <w:t xml:space="preserve">. Общаяя схема воздействия экологического фактора подразумевает наличие диапазонов оптимума, пессимума и летали</w:t>
      </w:r>
      <w:r>
        <w:t xml:space="preserve"> </w:t>
      </w:r>
      <w:r>
        <w:t xml:space="preserve">[12, 22]</w:t>
      </w:r>
      <w:r>
        <w:t xml:space="preserve">. Оптиальнымми являются те значения факторов, при которых возможно размножение оргинзмов,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w:t>
      </w:r>
      <w:r>
        <w:t xml:space="preserve"> </w:t>
      </w:r>
      <w:r>
        <w:t xml:space="preserve">[12, 19]</w:t>
      </w:r>
      <w:r>
        <w:t xml:space="preserve">. В проведенных ранее исслдованиях</w:t>
      </w:r>
      <w:r>
        <w:t xml:space="preserve"> </w:t>
      </w:r>
      <w:r>
        <w:t xml:space="preserve">[16, 21]</w:t>
      </w:r>
      <w:r>
        <w:t xml:space="preserve"> </w:t>
      </w:r>
      <w:r>
        <w:t xml:space="preserve">о положительном или отрицательном вляиянии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отнсятся многие физиологические характеристики</w:t>
      </w:r>
      <w:r>
        <w:t xml:space="preserve"> </w:t>
      </w:r>
      <w:r>
        <w:t xml:space="preserve">[4]</w:t>
      </w:r>
      <w:r>
        <w:t xml:space="preserve">. Так, например, в работе А. Бритикова</w:t>
      </w:r>
      <w:r>
        <w:t xml:space="preserve"> </w:t>
      </w:r>
      <w:r>
        <w:t xml:space="preserve">[11]</w:t>
      </w:r>
      <w:r>
        <w:t xml:space="preserve"> </w:t>
      </w:r>
      <w:r>
        <w:t xml:space="preserve">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зависило от размера моллюска. В отличи от литторин, пленненые гидробии большого размера выделяли столько же пеллет сколько и свободные, а пленненые гидробии небольшого размера выделяли даже больше пеллет, чем свободые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измение питания и репродукции животного. Целью моей работы было узнать, как биссусное прикрепление в влияет на двигательные способности литторин и гидробий.</w:t>
      </w:r>
    </w:p>
    <w:bookmarkEnd w:id="20"/>
    <w:bookmarkStart w:id="30" w:name="материал-и-методика"/>
    <w:p>
      <w:pPr>
        <w:pStyle w:val="Heading1"/>
      </w:pPr>
      <w:r>
        <w:t xml:space="preserve">Материал и методика</w:t>
      </w:r>
    </w:p>
    <w:bookmarkStart w:id="21" w:name="сбор-материалов"/>
    <w:p>
      <w:pPr>
        <w:pStyle w:val="Heading2"/>
      </w:pPr>
      <w:r>
        <w:t xml:space="preserve">Сбор материалов</w:t>
      </w:r>
    </w:p>
    <w:p>
      <w:pPr>
        <w:pStyle w:val="FirstParagraph"/>
      </w:pPr>
      <w: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pPr>
        <w:pStyle w:val="BodyText"/>
      </w:pPr>
      <w: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w:t>
      </w:r>
      <w:r>
        <w:t xml:space="preserve"> </w:t>
      </w:r>
      <w:r>
        <w:rPr>
          <w:iCs/>
          <w:i/>
        </w:rPr>
        <w:t xml:space="preserve">Littorinidae</w:t>
      </w:r>
      <w:r>
        <w:t xml:space="preserve"> </w:t>
      </w:r>
      <w:r>
        <w:t xml:space="preserve">и</w:t>
      </w:r>
      <w:r>
        <w:t xml:space="preserve"> </w:t>
      </w:r>
      <w:r>
        <w:rPr>
          <w:iCs/>
          <w:i/>
        </w:rPr>
        <w:t xml:space="preserve">Hydrobiidae</w:t>
      </w:r>
      <w:r>
        <w:t xml:space="preserve">. Улитки из первого семейства были представлены только</w:t>
      </w:r>
      <w:r>
        <w:t xml:space="preserve"> </w:t>
      </w:r>
      <w:r>
        <w:rPr>
          <w:iCs/>
          <w:i/>
        </w:rPr>
        <w:t xml:space="preserve">Littorina saxatilis</w:t>
      </w:r>
      <w:r>
        <w:t xml:space="preserve"> </w:t>
      </w:r>
      <w:r>
        <w:t xml:space="preserve">(далее этих моллюсков будем обозначать термином</w:t>
      </w:r>
      <w:r>
        <w:t xml:space="preserve"> </w:t>
      </w:r>
      <w:r>
        <w:t xml:space="preserve">“</w:t>
      </w:r>
      <w:r>
        <w:t xml:space="preserve">литторины</w:t>
      </w:r>
      <w:r>
        <w:t xml:space="preserve">”</w:t>
      </w:r>
      <w:r>
        <w:t xml:space="preserve">). Согласно исследованиям, А. Гафаровой</w:t>
      </w:r>
      <w:r>
        <w:t xml:space="preserve"> </w:t>
      </w:r>
      <w:r>
        <w:t xml:space="preserve">[15]</w:t>
      </w:r>
      <w:r>
        <w:t xml:space="preserve">, в месте сбора материала могут встречаться два вида, представителей второго семейства:</w:t>
      </w:r>
      <w:r>
        <w:t xml:space="preserve"> </w:t>
      </w:r>
      <w:r>
        <w:rPr>
          <w:iCs/>
          <w:i/>
        </w:rPr>
        <w:t xml:space="preserve">Peringia ulvae</w:t>
      </w:r>
      <w:r>
        <w:t xml:space="preserve"> </w:t>
      </w:r>
      <w:r>
        <w:t xml:space="preserve">и</w:t>
      </w:r>
      <w:r>
        <w:t xml:space="preserve"> </w:t>
      </w:r>
      <w:r>
        <w:rPr>
          <w:iCs/>
          <w:i/>
        </w:rPr>
        <w:t xml:space="preserve">Ecrobia ventrosa</w:t>
      </w:r>
      <w:r>
        <w:t xml:space="preserve">.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w:t>
      </w:r>
      <w:r>
        <w:t xml:space="preserve"> </w:t>
      </w:r>
      <w:r>
        <w:t xml:space="preserve">“</w:t>
      </w:r>
      <w:r>
        <w:t xml:space="preserve">гидробии</w:t>
      </w:r>
      <w:r>
        <w:t xml:space="preserve">”</w:t>
      </w:r>
      <w:r>
        <w:t xml:space="preserve">.</w:t>
      </w:r>
    </w:p>
    <w:p>
      <w:pPr>
        <w:pStyle w:val="BodyText"/>
      </w:pPr>
      <w:r>
        <w:t xml:space="preserve">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лаббораторию. Улитки до начала экспериментов содержались не более 8 часов.</w:t>
      </w:r>
    </w:p>
    <w:bookmarkEnd w:id="21"/>
    <w:bookmarkStart w:id="28" w:name="проведение-эксперимента"/>
    <w:p>
      <w:pPr>
        <w:pStyle w:val="Heading2"/>
      </w:pPr>
      <w:r>
        <w:t xml:space="preserve">Проведение эксперимента</w:t>
      </w:r>
    </w:p>
    <w:p>
      <w:pPr>
        <w:pStyle w:val="FirstParagraph"/>
      </w:pPr>
      <w:r>
        <w:t xml:space="preserve">В лаборатории мы доставали из контейнеров с друзами литторин и гидробий подвергшиеся биссусному прикреплению (далее мы будем называть их</w:t>
      </w:r>
      <w:r>
        <w:t xml:space="preserve"> </w:t>
      </w:r>
      <w:r>
        <w:t xml:space="preserve">“</w:t>
      </w:r>
      <w:r>
        <w:t xml:space="preserve">Плененными</w:t>
      </w:r>
      <w:r>
        <w:t xml:space="preserve">”</w:t>
      </w:r>
      <w:r>
        <w:t xml:space="preserve">), из контейнеров без друз мы доставали улиток, не подвергшиеся биссусному прикреплению (далее</w:t>
      </w:r>
      <w:r>
        <w:t xml:space="preserve"> </w:t>
      </w:r>
      <w:r>
        <w:t xml:space="preserve">“</w:t>
      </w:r>
      <w:r>
        <w:t xml:space="preserve">Свободные</w:t>
      </w:r>
      <w:r>
        <w:t xml:space="preserve">”</w:t>
      </w:r>
      <w:r>
        <w:t xml:space="preserve">).</w:t>
      </w:r>
    </w:p>
    <w:p>
      <w:pPr>
        <w:pStyle w:val="BodyText"/>
      </w:pPr>
      <w:r>
        <w:t xml:space="preserve">Для тестирования перемещения улиток мы использовали пластину из оргстекла с нанесенной на ней сеткой (Рис. ++).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pPr>
        <w:pStyle w:val="BodyText"/>
      </w:pPr>
      <w:r>
        <w:t xml:space="preserve">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обработанно 302 улитки, для которых было сделано 245 видео записей.</w:t>
      </w:r>
    </w:p>
    <w:p>
      <w:pPr>
        <w:pStyle w:val="BodyText"/>
      </w:pPr>
      <w:r>
        <w:t xml:space="preserve">Полученные видеозаписи далее обрабатывались в программе LevenhukLite (x64,4.8.16143.20191216). В программе мы запускали просмотр видео записи и, следуя за головным концом улитки, ставили точки в тех местах, где улитка меняла напавление своего движения. Эти точки, будучи соединенными отрезками формировали трек перемещения животного (рис. ++).</w:t>
      </w:r>
    </w:p>
    <w:p>
      <w:pPr>
        <w:pStyle w:val="CaptionedFigure"/>
      </w:pPr>
      <w:r>
        <w:drawing>
          <wp:inline>
            <wp:extent cx="5334000" cy="4267200"/>
            <wp:effectExtent b="0" l="0" r="0" t="0"/>
            <wp:docPr descr="Рисунок ++. Внешний вид эксперимента" title="" id="23" name="Picture"/>
            <a:graphic>
              <a:graphicData uri="http://schemas.openxmlformats.org/drawingml/2006/picture">
                <pic:pic>
                  <pic:nvPicPr>
                    <pic:cNvPr descr="Figures/trek_example.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Рисунок ++. Внешний вид эксперимента</w:t>
      </w:r>
    </w:p>
    <w:p>
      <w:pPr>
        <w:pStyle w:val="BodyText"/>
      </w:pPr>
      <w:r>
        <w:t xml:space="preserve">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направлвления(за ноль принималось направление от наблюдателя, снизу вверх в видеозаписи, рис. +++). Полученное значение L мы делили на общую продолжительность времени движения улитки, что давало оценку скорости движения (Speed).</w:t>
      </w:r>
    </w:p>
    <w:p>
      <w:pPr>
        <w:pStyle w:val="CaptionedFigure"/>
      </w:pPr>
      <w:r>
        <w:drawing>
          <wp:inline>
            <wp:extent cx="5334000" cy="5260087"/>
            <wp:effectExtent b="0" l="0" r="0" t="0"/>
            <wp:docPr descr="Рисунок ++. Внешний вид эксперимента" title="" id="26" name="Picture"/>
            <a:graphic>
              <a:graphicData uri="http://schemas.openxmlformats.org/drawingml/2006/picture">
                <pic:pic>
                  <pic:nvPicPr>
                    <pic:cNvPr descr="Figures/Picture_1.png" id="27" name="Picture"/>
                    <pic:cNvPicPr>
                      <a:picLocks noChangeArrowheads="1" noChangeAspect="1"/>
                    </pic:cNvPicPr>
                  </pic:nvPicPr>
                  <pic:blipFill>
                    <a:blip r:embed="rId25"/>
                    <a:stretch>
                      <a:fillRect/>
                    </a:stretch>
                  </pic:blipFill>
                  <pic:spPr bwMode="auto">
                    <a:xfrm>
                      <a:off x="0" y="0"/>
                      <a:ext cx="5334000" cy="5260087"/>
                    </a:xfrm>
                    <a:prstGeom prst="rect">
                      <a:avLst/>
                    </a:prstGeom>
                    <a:noFill/>
                    <a:ln w="9525">
                      <a:noFill/>
                      <a:headEnd/>
                      <a:tailEnd/>
                    </a:ln>
                  </pic:spPr>
                </pic:pic>
              </a:graphicData>
            </a:graphic>
          </wp:inline>
        </w:drawing>
      </w:r>
    </w:p>
    <w:p>
      <w:pPr>
        <w:pStyle w:val="ImageCaption"/>
      </w:pPr>
      <w:r>
        <w:t xml:space="preserve">Рисунок ++. Внешний вид эксперимента</w:t>
      </w:r>
    </w:p>
    <w:bookmarkEnd w:id="28"/>
    <w:bookmarkStart w:id="29" w:name="статистическая-обработка"/>
    <w:p>
      <w:pPr>
        <w:pStyle w:val="Heading2"/>
      </w:pPr>
      <w:r>
        <w:t xml:space="preserve">Статистическая обработка</w:t>
      </w:r>
    </w:p>
    <w:p>
      <w:pPr>
        <w:pStyle w:val="FirstParagraph"/>
      </w:pPr>
      <w:r>
        <w:t xml:space="preserve">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свзь с двумя предикторами (</w:t>
      </w:r>
      <w:r>
        <w:t xml:space="preserve">“</w:t>
      </w:r>
      <w:r>
        <w:t xml:space="preserve">Статус моллюска</w:t>
      </w:r>
      <w:r>
        <w:t xml:space="preserve">”</w:t>
      </w:r>
      <w:r>
        <w:t xml:space="preserve"> </w:t>
      </w:r>
      <w:r>
        <w:t xml:space="preserve">и</w:t>
      </w:r>
      <w:r>
        <w:t xml:space="preserve"> </w:t>
      </w:r>
      <w:r>
        <w:t xml:space="preserve">“</w:t>
      </w:r>
      <w:r>
        <w:t xml:space="preserve">Размер устья</w:t>
      </w:r>
      <w:r>
        <w:t xml:space="preserve">”</w:t>
      </w:r>
      <w:r>
        <w:t xml:space="preserve">)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w:t>
      </w:r>
      <w:r>
        <w:t xml:space="preserve"> </w:t>
      </w:r>
      <m:oMath>
        <m:r>
          <m:t>α</m:t>
        </m:r>
      </m:oMath>
      <w:r>
        <w:t xml:space="preserve">=0,05. Все расчеты проводились с использованием функций языка статистического программирования R 4.2.2 (R Core Team, 2022).</w:t>
      </w:r>
    </w:p>
    <w:bookmarkEnd w:id="29"/>
    <w:bookmarkEnd w:id="30"/>
    <w:bookmarkStart w:id="45" w:name="результаты"/>
    <w:p>
      <w:pPr>
        <w:pStyle w:val="Heading1"/>
      </w:pPr>
      <w:r>
        <w:t xml:space="preserve">Результаты</w:t>
      </w:r>
    </w:p>
    <w:bookmarkStart w:id="37" w:name="движение-гидробий"/>
    <w:p>
      <w:pPr>
        <w:pStyle w:val="Heading2"/>
      </w:pPr>
      <w:r>
        <w:t xml:space="preserve">Движение гидробий</w:t>
      </w:r>
    </w:p>
    <w:p>
      <w:pPr>
        <w:pStyle w:val="FirstParagraph"/>
      </w:pPr>
      <w:r>
        <w:t xml:space="preserve">Рисунок ++ демонстрирует связь значения вариабельности направления движения (SD), скорости движения (Speed) и времени подготовкии к движению (T) у двух групп гидробий.</w:t>
      </w:r>
      <w:r>
        <w:t xml:space="preserve"> </w:t>
      </w:r>
      <w:r>
        <w:t xml:space="preserve">Единстваенным параметром, демонстрирующем различия в медианах измеренных величин (Рис. ++) было варьирование направления движения (SD).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свидетельствуект о более извилистой траектории их движения. Однако диспресионный анализ (табл. ++) не выявил значимой связи этого параметра ни с фактором</w:t>
      </w:r>
      <w:r>
        <w:t xml:space="preserve"> </w:t>
      </w:r>
      <w:r>
        <w:t xml:space="preserve">“</w:t>
      </w:r>
      <w:r>
        <w:t xml:space="preserve">Размер</w:t>
      </w:r>
      <w:r>
        <w:t xml:space="preserve">”</w:t>
      </w:r>
      <w:r>
        <w:t xml:space="preserve">, ни с фактором</w:t>
      </w:r>
      <w:r>
        <w:t xml:space="preserve"> </w:t>
      </w:r>
      <w:r>
        <w:t xml:space="preserve">“</w:t>
      </w:r>
      <w:r>
        <w:t xml:space="preserve">Статус</w:t>
      </w:r>
      <w:r>
        <w:t xml:space="preserve">”</w:t>
      </w:r>
      <w:r>
        <w:t xml:space="preserve">, ни с их взаимодействием.</w:t>
      </w:r>
    </w:p>
    <w:p>
      <w:pPr>
        <w:pStyle w:val="CaptionedFigure"/>
      </w:pPr>
      <w:r>
        <w:drawing>
          <wp:inline>
            <wp:extent cx="4620126" cy="3696101"/>
            <wp:effectExtent b="0" l="0" r="0" t="0"/>
            <wp:docPr descr="Рисунок ++. Значения вариабельности направления, скорости движения и времени подготовки к движению у свободных и плененных гидробий." title="" id="32" name="Picture"/>
            <a:graphic>
              <a:graphicData uri="http://schemas.openxmlformats.org/drawingml/2006/picture">
                <pic:pic>
                  <pic:nvPicPr>
                    <pic:cNvPr descr="Britikov_2023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 Значения вариабельности направления, скорости движения и времени подготовки к движению у свободных и плененных гидробий.</w:t>
      </w:r>
    </w:p>
    <w:p>
      <w:pPr>
        <w:pStyle w:val="BodyText"/>
      </w:pPr>
      <w:r>
        <w:t xml:space="preserve">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 ++).</w:t>
      </w:r>
    </w:p>
    <w:p>
      <w:pPr>
        <w:pStyle w:val="BodyText"/>
      </w:pPr>
      <w:r>
        <w:t xml:space="preserve">Рисунок ++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pPr>
        <w:pStyle w:val="CaptionedFigure"/>
      </w:pPr>
      <w:r>
        <w:drawing>
          <wp:inline>
            <wp:extent cx="4620126" cy="3696101"/>
            <wp:effectExtent b="0" l="0" r="0" t="0"/>
            <wp:docPr descr="Рисунок ++. Зависимость скорости передвижения от размера и статуса моллюска у гидробий" title="" id="35" name="Picture"/>
            <a:graphic>
              <a:graphicData uri="http://schemas.openxmlformats.org/drawingml/2006/picture">
                <pic:pic>
                  <pic:nvPicPr>
                    <pic:cNvPr descr="Britikov_2023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 Зависимость скорости передвижения от размера и статуса моллюска у гидробий</w:t>
      </w:r>
    </w:p>
    <w:p>
      <w:pPr>
        <w:pStyle w:val="TableCaption"/>
      </w:pPr>
      <w:r>
        <w:t xml:space="preserve">Табл. ++. Результаты дисперсионного анализа модели, описывающей связь скорости движения с размером и статусом гидробий.</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скорости движения с размером и статусом гидробий."/>
      </w:tblPr>
      <w:tblGrid>
        <w:gridCol w:w="2525"/>
        <w:gridCol w:w="2640"/>
        <w:gridCol w:w="688"/>
        <w:gridCol w:w="688"/>
        <w:gridCol w:w="688"/>
        <w:gridCol w:w="68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0.003</w:t>
            </w:r>
          </w:p>
        </w:tc>
        <w:tc>
          <w:tcPr/>
          <w:p>
            <w:pPr>
              <w:pStyle w:val="Compact"/>
              <w:jc w:val="right"/>
            </w:pPr>
            <w:r>
              <w:t xml:space="preserve">4.252</w:t>
            </w:r>
          </w:p>
        </w:tc>
        <w:tc>
          <w:tcPr/>
          <w:p>
            <w:pPr>
              <w:pStyle w:val="Compact"/>
              <w:jc w:val="right"/>
            </w:pPr>
            <w:r>
              <w:t xml:space="preserve">0.042</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1.203</w:t>
            </w:r>
          </w:p>
        </w:tc>
        <w:tc>
          <w:tcPr/>
          <w:p>
            <w:pPr>
              <w:pStyle w:val="Compact"/>
              <w:jc w:val="right"/>
            </w:pPr>
            <w:r>
              <w:t xml:space="preserve">0.276</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0.902</w:t>
            </w:r>
          </w:p>
        </w:tc>
      </w:tr>
      <w:tr>
        <w:tc>
          <w:tcPr/>
          <w:p>
            <w:pPr>
              <w:pStyle w:val="Compact"/>
              <w:jc w:val="left"/>
            </w:pPr>
            <w:r>
              <w:t xml:space="preserve">Остатки</w:t>
            </w:r>
          </w:p>
        </w:tc>
        <w:tc>
          <w:tcPr/>
          <w:p>
            <w:pPr>
              <w:pStyle w:val="Compact"/>
              <w:jc w:val="right"/>
            </w:pPr>
            <w:r>
              <w:t xml:space="preserve">85</w:t>
            </w:r>
          </w:p>
        </w:tc>
        <w:tc>
          <w:tcPr/>
          <w:p>
            <w:pPr>
              <w:pStyle w:val="Compact"/>
              <w:jc w:val="right"/>
            </w:pPr>
            <w:r>
              <w:t xml:space="preserve">0.054</w:t>
            </w:r>
          </w:p>
        </w:tc>
        <w:tc>
          <w:tcPr/>
          <w:p>
            <w:pPr>
              <w:pStyle w:val="Compact"/>
              <w:jc w:val="right"/>
            </w:pPr>
            <w:r>
              <w:t xml:space="preserve">0.001</w:t>
            </w:r>
          </w:p>
        </w:tc>
        <w:tc>
          <w:tcPr/>
          <w:p>
            <w:pPr>
              <w:pStyle w:val="Compact"/>
            </w:pPr>
          </w:p>
        </w:tc>
        <w:tc>
          <w:tcPr/>
          <w:p>
            <w:pPr>
              <w:pStyle w:val="Compact"/>
            </w:pPr>
          </w:p>
        </w:tc>
      </w:tr>
    </w:tbl>
    <w:p/>
    <w:p>
      <w:pPr>
        <w:pStyle w:val="TableCaption"/>
      </w:pPr>
      <w:r>
        <w:t xml:space="preserve">Табл. ++.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вариабельности направления движения с размером и статусом гидробий."/>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45.041</w:t>
            </w:r>
          </w:p>
        </w:tc>
        <w:tc>
          <w:tcPr/>
          <w:p>
            <w:pPr>
              <w:pStyle w:val="Compact"/>
              <w:jc w:val="right"/>
            </w:pPr>
            <w:r>
              <w:t xml:space="preserve">45.041</w:t>
            </w:r>
          </w:p>
        </w:tc>
        <w:tc>
          <w:tcPr/>
          <w:p>
            <w:pPr>
              <w:pStyle w:val="Compact"/>
              <w:jc w:val="right"/>
            </w:pPr>
            <w:r>
              <w:t xml:space="preserve">0.281</w:t>
            </w:r>
          </w:p>
        </w:tc>
        <w:tc>
          <w:tcPr/>
          <w:p>
            <w:pPr>
              <w:pStyle w:val="Compact"/>
              <w:jc w:val="right"/>
            </w:pPr>
            <w:r>
              <w:t xml:space="preserve">0.599</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18.641</w:t>
            </w:r>
          </w:p>
        </w:tc>
        <w:tc>
          <w:tcPr/>
          <w:p>
            <w:pPr>
              <w:pStyle w:val="Compact"/>
              <w:jc w:val="right"/>
            </w:pPr>
            <w:r>
              <w:t xml:space="preserve">18.641</w:t>
            </w:r>
          </w:p>
        </w:tc>
        <w:tc>
          <w:tcPr/>
          <w:p>
            <w:pPr>
              <w:pStyle w:val="Compact"/>
              <w:jc w:val="right"/>
            </w:pPr>
            <w:r>
              <w:t xml:space="preserve">0.116</w:t>
            </w:r>
          </w:p>
        </w:tc>
        <w:tc>
          <w:tcPr/>
          <w:p>
            <w:pPr>
              <w:pStyle w:val="Compact"/>
              <w:jc w:val="right"/>
            </w:pPr>
            <w:r>
              <w:t xml:space="preserve">0.735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336.060</w:t>
            </w:r>
          </w:p>
        </w:tc>
        <w:tc>
          <w:tcPr/>
          <w:p>
            <w:pPr>
              <w:pStyle w:val="Compact"/>
              <w:jc w:val="right"/>
            </w:pPr>
            <w:r>
              <w:t xml:space="preserve">336.060</w:t>
            </w:r>
          </w:p>
        </w:tc>
        <w:tc>
          <w:tcPr/>
          <w:p>
            <w:pPr>
              <w:pStyle w:val="Compact"/>
              <w:jc w:val="right"/>
            </w:pPr>
            <w:r>
              <w:t xml:space="preserve">2.097</w:t>
            </w:r>
          </w:p>
        </w:tc>
        <w:tc>
          <w:tcPr/>
          <w:p>
            <w:pPr>
              <w:pStyle w:val="Compact"/>
              <w:jc w:val="right"/>
            </w:pPr>
            <w:r>
              <w:t xml:space="preserve">0.154</w:t>
            </w:r>
          </w:p>
        </w:tc>
      </w:tr>
      <w:tr>
        <w:tc>
          <w:tcPr/>
          <w:p>
            <w:pPr>
              <w:pStyle w:val="Compact"/>
              <w:jc w:val="left"/>
            </w:pPr>
            <w:r>
              <w:t xml:space="preserve">Остатки</w:t>
            </w:r>
          </w:p>
        </w:tc>
        <w:tc>
          <w:tcPr/>
          <w:p>
            <w:pPr>
              <w:pStyle w:val="Compact"/>
              <w:jc w:val="right"/>
            </w:pPr>
            <w:r>
              <w:t xml:space="preserve">46</w:t>
            </w:r>
          </w:p>
        </w:tc>
        <w:tc>
          <w:tcPr/>
          <w:p>
            <w:pPr>
              <w:pStyle w:val="Compact"/>
              <w:jc w:val="right"/>
            </w:pPr>
            <w:r>
              <w:t xml:space="preserve">7371.639</w:t>
            </w:r>
          </w:p>
        </w:tc>
        <w:tc>
          <w:tcPr/>
          <w:p>
            <w:pPr>
              <w:pStyle w:val="Compact"/>
              <w:jc w:val="right"/>
            </w:pPr>
            <w:r>
              <w:t xml:space="preserve">160.253</w:t>
            </w:r>
          </w:p>
        </w:tc>
        <w:tc>
          <w:tcPr/>
          <w:p>
            <w:pPr>
              <w:pStyle w:val="Compact"/>
            </w:pPr>
          </w:p>
        </w:tc>
        <w:tc>
          <w:tcPr/>
          <w:p>
            <w:pPr>
              <w:pStyle w:val="Compact"/>
            </w:pPr>
          </w:p>
        </w:tc>
      </w:tr>
    </w:tbl>
    <w:p/>
    <w:p>
      <w:pPr>
        <w:pStyle w:val="TableCaption"/>
      </w:pPr>
      <w:r>
        <w:t xml:space="preserve">Табл. ++. Результаты дисперсионного анализа модели, описывающей связь времени подготовки к движению с размером и статусом гидробий.</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времени подготовки к движению с размером и статусом гидробий."/>
      </w:tblPr>
      <w:tblGrid>
        <w:gridCol w:w="2233"/>
        <w:gridCol w:w="2335"/>
        <w:gridCol w:w="1116"/>
        <w:gridCol w:w="1015"/>
        <w:gridCol w:w="609"/>
        <w:gridCol w:w="609"/>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8688.941</w:t>
            </w:r>
          </w:p>
        </w:tc>
        <w:tc>
          <w:tcPr/>
          <w:p>
            <w:pPr>
              <w:pStyle w:val="Compact"/>
              <w:jc w:val="right"/>
            </w:pPr>
            <w:r>
              <w:t xml:space="preserve">8688.941</w:t>
            </w:r>
          </w:p>
        </w:tc>
        <w:tc>
          <w:tcPr/>
          <w:p>
            <w:pPr>
              <w:pStyle w:val="Compact"/>
              <w:jc w:val="right"/>
            </w:pPr>
            <w:r>
              <w:t xml:space="preserve">0.879</w:t>
            </w:r>
          </w:p>
        </w:tc>
        <w:tc>
          <w:tcPr/>
          <w:p>
            <w:pPr>
              <w:pStyle w:val="Compact"/>
              <w:jc w:val="right"/>
            </w:pPr>
            <w:r>
              <w:t xml:space="preserve">0.351</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22620.633</w:t>
            </w:r>
          </w:p>
        </w:tc>
        <w:tc>
          <w:tcPr/>
          <w:p>
            <w:pPr>
              <w:pStyle w:val="Compact"/>
              <w:jc w:val="right"/>
            </w:pPr>
            <w:r>
              <w:t xml:space="preserve">22620.633</w:t>
            </w:r>
          </w:p>
        </w:tc>
        <w:tc>
          <w:tcPr/>
          <w:p>
            <w:pPr>
              <w:pStyle w:val="Compact"/>
              <w:jc w:val="right"/>
            </w:pPr>
            <w:r>
              <w:t xml:space="preserve">2.288</w:t>
            </w:r>
          </w:p>
        </w:tc>
        <w:tc>
          <w:tcPr/>
          <w:p>
            <w:pPr>
              <w:pStyle w:val="Compact"/>
              <w:jc w:val="right"/>
            </w:pPr>
            <w:r>
              <w:t xml:space="preserve">0.134</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532.991</w:t>
            </w:r>
          </w:p>
        </w:tc>
        <w:tc>
          <w:tcPr/>
          <w:p>
            <w:pPr>
              <w:pStyle w:val="Compact"/>
              <w:jc w:val="right"/>
            </w:pPr>
            <w:r>
              <w:t xml:space="preserve">532.991</w:t>
            </w:r>
          </w:p>
        </w:tc>
        <w:tc>
          <w:tcPr/>
          <w:p>
            <w:pPr>
              <w:pStyle w:val="Compact"/>
              <w:jc w:val="right"/>
            </w:pPr>
            <w:r>
              <w:t xml:space="preserve">0.054</w:t>
            </w:r>
          </w:p>
        </w:tc>
        <w:tc>
          <w:tcPr/>
          <w:p>
            <w:pPr>
              <w:pStyle w:val="Compact"/>
              <w:jc w:val="right"/>
            </w:pPr>
            <w:r>
              <w:t xml:space="preserve">0.817</w:t>
            </w:r>
          </w:p>
        </w:tc>
      </w:tr>
      <w:tr>
        <w:tc>
          <w:tcPr/>
          <w:p>
            <w:pPr>
              <w:pStyle w:val="Compact"/>
              <w:jc w:val="left"/>
            </w:pPr>
            <w:r>
              <w:t xml:space="preserve">Остатки</w:t>
            </w:r>
          </w:p>
        </w:tc>
        <w:tc>
          <w:tcPr/>
          <w:p>
            <w:pPr>
              <w:pStyle w:val="Compact"/>
              <w:jc w:val="right"/>
            </w:pPr>
            <w:r>
              <w:t xml:space="preserve">97</w:t>
            </w:r>
          </w:p>
        </w:tc>
        <w:tc>
          <w:tcPr/>
          <w:p>
            <w:pPr>
              <w:pStyle w:val="Compact"/>
              <w:jc w:val="right"/>
            </w:pPr>
            <w:r>
              <w:t xml:space="preserve">958897.594</w:t>
            </w:r>
          </w:p>
        </w:tc>
        <w:tc>
          <w:tcPr/>
          <w:p>
            <w:pPr>
              <w:pStyle w:val="Compact"/>
              <w:jc w:val="right"/>
            </w:pPr>
            <w:r>
              <w:t xml:space="preserve">9885.542</w:t>
            </w:r>
          </w:p>
        </w:tc>
        <w:tc>
          <w:tcPr/>
          <w:p>
            <w:pPr>
              <w:pStyle w:val="Compact"/>
            </w:pPr>
          </w:p>
        </w:tc>
        <w:tc>
          <w:tcPr/>
          <w:p>
            <w:pPr>
              <w:pStyle w:val="Compact"/>
            </w:pPr>
          </w:p>
        </w:tc>
      </w:tr>
    </w:tbl>
    <w:bookmarkEnd w:id="37"/>
    <w:bookmarkStart w:id="44" w:name="движение-литторин"/>
    <w:p>
      <w:pPr>
        <w:pStyle w:val="Heading2"/>
      </w:pPr>
      <w:r>
        <w:t xml:space="preserve">Движение литторин</w:t>
      </w:r>
    </w:p>
    <w:p>
      <w:pPr>
        <w:pStyle w:val="FirstParagraph"/>
      </w:pPr>
      <w:r>
        <w:t xml:space="preserve">Рисунок ++ демонстрирует зависимость вариабельности направления движения (SD), скорости движения (Speed) и времени подготовкии к движению (T) от статуса литторин. Видно, что медианы всех изученных показателей рзличаются в двух группах.</w:t>
      </w:r>
    </w:p>
    <w:p>
      <w:pPr>
        <w:pStyle w:val="CaptionedFigure"/>
      </w:pPr>
      <w:r>
        <w:drawing>
          <wp:inline>
            <wp:extent cx="4620126" cy="3696101"/>
            <wp:effectExtent b="0" l="0" r="0" t="0"/>
            <wp:docPr descr="Рисунок ++. Значения вариабельности направления, скорости движения и времени подготовки к движению у свободных и плененных литторин." title="" id="39" name="Picture"/>
            <a:graphic>
              <a:graphicData uri="http://schemas.openxmlformats.org/drawingml/2006/picture">
                <pic:pic>
                  <pic:nvPicPr>
                    <pic:cNvPr descr="Britikov_2023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 Значения вариабельности направления, скорости движения и времени подготовки к движению у свободных и плененных литторин.</w:t>
      </w:r>
    </w:p>
    <w:p>
      <w:pPr>
        <w:pStyle w:val="BodyText"/>
      </w:pPr>
      <w:r>
        <w:t xml:space="preserve">Свободные литторины облодали более высокой скоростью (Speed, Рис. +++), чем пленненые, то есть за одно и тоже время улитки, которые не подверглись биссусному прикреплению, могли пройти большее расстояние, чем те что подверглись воздействию биссуса. Однако дисперсионным анализом было выявленно значимое взаимодействие факторов</w:t>
      </w:r>
      <w:r>
        <w:t xml:space="preserve"> </w:t>
      </w:r>
      <w:r>
        <w:t xml:space="preserve">“</w:t>
      </w:r>
      <w:r>
        <w:t xml:space="preserve">Размер устья</w:t>
      </w:r>
      <w:r>
        <w:t xml:space="preserve">”</w:t>
      </w:r>
      <w:r>
        <w:t xml:space="preserve"> </w:t>
      </w:r>
      <w:r>
        <w:t xml:space="preserve">и</w:t>
      </w:r>
      <w:r>
        <w:t xml:space="preserve"> </w:t>
      </w:r>
      <w:r>
        <w:t xml:space="preserve">“</w:t>
      </w:r>
      <w:r>
        <w:t xml:space="preserve">Статус</w:t>
      </w:r>
      <w:r>
        <w:t xml:space="preserve">”</w:t>
      </w:r>
      <w:r>
        <w:t xml:space="preserve"> </w:t>
      </w:r>
      <w:r>
        <w:t xml:space="preserve">(Табл. +++, Рис. +++). В связи с этим мы проанализировали зависимость скорости передвижения от размера устья литторины для двух групп (Рис. ++).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демонстирует зависмости.</w:t>
      </w:r>
    </w:p>
    <w:p>
      <w:pPr>
        <w:pStyle w:val="CaptionedFigure"/>
      </w:pPr>
      <w:r>
        <w:drawing>
          <wp:inline>
            <wp:extent cx="4620126" cy="3696101"/>
            <wp:effectExtent b="0" l="0" r="0" t="0"/>
            <wp:docPr descr="Рисунок ++. Зависимость скорости передвижения от размера и статуса моллюска у литторин" title="" id="42" name="Picture"/>
            <a:graphic>
              <a:graphicData uri="http://schemas.openxmlformats.org/drawingml/2006/picture">
                <pic:pic>
                  <pic:nvPicPr>
                    <pic:cNvPr descr="Britikov_2023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 Зависимость скорости передвижения от размера и статуса моллюска у литторин</w:t>
      </w:r>
    </w:p>
    <w:p>
      <w:pPr>
        <w:pStyle w:val="TableCaption"/>
      </w:pPr>
      <w:r>
        <w:t xml:space="preserve">Табл. ++. Результаты дисперсионного анализа модели, описывающей связь скорости движения с размером и статусом литторин.</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скорости движения с размером и статусом литторин."/>
      </w:tblPr>
      <w:tblGrid>
        <w:gridCol w:w="2489"/>
        <w:gridCol w:w="2602"/>
        <w:gridCol w:w="678"/>
        <w:gridCol w:w="678"/>
        <w:gridCol w:w="792"/>
        <w:gridCol w:w="67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14.491</w:t>
            </w:r>
          </w:p>
        </w:tc>
        <w:tc>
          <w:tcPr/>
          <w:p>
            <w:pPr>
              <w:pStyle w:val="Compact"/>
              <w:jc w:val="right"/>
            </w:pPr>
            <w:r>
              <w:t xml:space="preserve">0.000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0.007</w:t>
            </w:r>
          </w:p>
        </w:tc>
        <w:tc>
          <w:tcPr/>
          <w:p>
            <w:pPr>
              <w:pStyle w:val="Compact"/>
              <w:jc w:val="right"/>
            </w:pPr>
            <w:r>
              <w:t xml:space="preserve">0.007</w:t>
            </w:r>
          </w:p>
        </w:tc>
        <w:tc>
          <w:tcPr/>
          <w:p>
            <w:pPr>
              <w:pStyle w:val="Compact"/>
              <w:jc w:val="right"/>
            </w:pPr>
            <w:r>
              <w:t xml:space="preserve">7.002</w:t>
            </w:r>
          </w:p>
        </w:tc>
        <w:tc>
          <w:tcPr/>
          <w:p>
            <w:pPr>
              <w:pStyle w:val="Compact"/>
              <w:jc w:val="right"/>
            </w:pPr>
            <w:r>
              <w:t xml:space="preserve">0.009</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0.008</w:t>
            </w:r>
          </w:p>
        </w:tc>
        <w:tc>
          <w:tcPr/>
          <w:p>
            <w:pPr>
              <w:pStyle w:val="Compact"/>
              <w:jc w:val="right"/>
            </w:pPr>
            <w:r>
              <w:t xml:space="preserve">0.008</w:t>
            </w:r>
          </w:p>
        </w:tc>
        <w:tc>
          <w:tcPr/>
          <w:p>
            <w:pPr>
              <w:pStyle w:val="Compact"/>
              <w:jc w:val="right"/>
            </w:pPr>
            <w:r>
              <w:t xml:space="preserve">7.681</w:t>
            </w:r>
          </w:p>
        </w:tc>
        <w:tc>
          <w:tcPr/>
          <w:p>
            <w:pPr>
              <w:pStyle w:val="Compact"/>
              <w:jc w:val="right"/>
            </w:pPr>
            <w:r>
              <w:t xml:space="preserve">0.007</w:t>
            </w:r>
          </w:p>
        </w:tc>
      </w:tr>
      <w:tr>
        <w:tc>
          <w:tcPr/>
          <w:p>
            <w:pPr>
              <w:pStyle w:val="Compact"/>
              <w:jc w:val="left"/>
            </w:pPr>
            <w:r>
              <w:t xml:space="preserve">Остатки</w:t>
            </w:r>
          </w:p>
        </w:tc>
        <w:tc>
          <w:tcPr/>
          <w:p>
            <w:pPr>
              <w:pStyle w:val="Compact"/>
              <w:jc w:val="right"/>
            </w:pPr>
            <w:r>
              <w:t xml:space="preserve">109</w:t>
            </w:r>
          </w:p>
        </w:tc>
        <w:tc>
          <w:tcPr/>
          <w:p>
            <w:pPr>
              <w:pStyle w:val="Compact"/>
              <w:jc w:val="right"/>
            </w:pPr>
            <w:r>
              <w:t xml:space="preserve">0.112</w:t>
            </w:r>
          </w:p>
        </w:tc>
        <w:tc>
          <w:tcPr/>
          <w:p>
            <w:pPr>
              <w:pStyle w:val="Compact"/>
              <w:jc w:val="right"/>
            </w:pPr>
            <w:r>
              <w:t xml:space="preserve">0.001</w:t>
            </w:r>
          </w:p>
        </w:tc>
        <w:tc>
          <w:tcPr/>
          <w:p>
            <w:pPr>
              <w:pStyle w:val="Compact"/>
            </w:pPr>
          </w:p>
        </w:tc>
        <w:tc>
          <w:tcPr/>
          <w:p>
            <w:pPr>
              <w:pStyle w:val="Compact"/>
            </w:pPr>
          </w:p>
        </w:tc>
      </w:tr>
    </w:tbl>
    <w:p>
      <w:pPr>
        <w:pStyle w:val="BodyText"/>
      </w:pPr>
      <w:r>
        <w:t xml:space="preserve">Вариабельность направления движения (SD, Рис. +++) у плененных литорин была статистически значимо ниже, чем у свободных (Табл. ++). Значимого влияния размера устья и взаимодействия факторов не выявлено (Табл. +++).</w:t>
      </w:r>
    </w:p>
    <w:p>
      <w:pPr>
        <w:pStyle w:val="BodyText"/>
      </w:pPr>
      <w:r>
        <w:t xml:space="preserve">Дисперсионный анализ не выявил влияния размера устья и взаимодействия факторов на время начала движения (Табл. +++). Однако влияние фактора</w:t>
      </w:r>
      <w:r>
        <w:t xml:space="preserve"> </w:t>
      </w:r>
      <w:r>
        <w:t xml:space="preserve">“</w:t>
      </w:r>
      <w:r>
        <w:t xml:space="preserve">Статус</w:t>
      </w:r>
      <w:r>
        <w:t xml:space="preserve">”</w:t>
      </w:r>
      <w:r>
        <w:t xml:space="preserve"> </w:t>
      </w:r>
      <w:r>
        <w:t xml:space="preserve">было статистически значимым. Таким образом, можно утверждать, что у пленненых моллюсков промежуток времени между размещением улитки на пластине и началом движения был значимо выше, чем у свободных (Рис. ++).</w:t>
      </w:r>
    </w:p>
    <w:p>
      <w:pPr>
        <w:pStyle w:val="TableCaption"/>
      </w:pPr>
      <w:r>
        <w:t xml:space="preserve">Табл. ++. Результаты дисперсионного анализа модели, описывающей связь вариабельности движения с размером и статусом литторин.</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вариабельности движения с размером и статусом литторин."/>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78.733</w:t>
            </w:r>
          </w:p>
        </w:tc>
        <w:tc>
          <w:tcPr/>
          <w:p>
            <w:pPr>
              <w:pStyle w:val="Compact"/>
              <w:jc w:val="right"/>
            </w:pPr>
            <w:r>
              <w:t xml:space="preserve">78.733</w:t>
            </w:r>
          </w:p>
        </w:tc>
        <w:tc>
          <w:tcPr/>
          <w:p>
            <w:pPr>
              <w:pStyle w:val="Compact"/>
              <w:jc w:val="right"/>
            </w:pPr>
            <w:r>
              <w:t xml:space="preserve">0.862</w:t>
            </w:r>
          </w:p>
        </w:tc>
        <w:tc>
          <w:tcPr/>
          <w:p>
            <w:pPr>
              <w:pStyle w:val="Compact"/>
              <w:jc w:val="right"/>
            </w:pPr>
            <w:r>
              <w:t xml:space="preserve">0.360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393.192</w:t>
            </w:r>
          </w:p>
        </w:tc>
        <w:tc>
          <w:tcPr/>
          <w:p>
            <w:pPr>
              <w:pStyle w:val="Compact"/>
              <w:jc w:val="right"/>
            </w:pPr>
            <w:r>
              <w:t xml:space="preserve">393.192</w:t>
            </w:r>
          </w:p>
        </w:tc>
        <w:tc>
          <w:tcPr/>
          <w:p>
            <w:pPr>
              <w:pStyle w:val="Compact"/>
              <w:jc w:val="right"/>
            </w:pPr>
            <w:r>
              <w:t xml:space="preserve">4.304</w:t>
            </w:r>
          </w:p>
        </w:tc>
        <w:tc>
          <w:tcPr/>
          <w:p>
            <w:pPr>
              <w:pStyle w:val="Compact"/>
              <w:jc w:val="right"/>
            </w:pPr>
            <w:r>
              <w:t xml:space="preserve">0.045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187.972</w:t>
            </w:r>
          </w:p>
        </w:tc>
        <w:tc>
          <w:tcPr/>
          <w:p>
            <w:pPr>
              <w:pStyle w:val="Compact"/>
              <w:jc w:val="right"/>
            </w:pPr>
            <w:r>
              <w:t xml:space="preserve">187.972</w:t>
            </w:r>
          </w:p>
        </w:tc>
        <w:tc>
          <w:tcPr/>
          <w:p>
            <w:pPr>
              <w:pStyle w:val="Compact"/>
              <w:jc w:val="right"/>
            </w:pPr>
            <w:r>
              <w:t xml:space="preserve">2.058</w:t>
            </w:r>
          </w:p>
        </w:tc>
        <w:tc>
          <w:tcPr/>
          <w:p>
            <w:pPr>
              <w:pStyle w:val="Compact"/>
              <w:jc w:val="right"/>
            </w:pPr>
            <w:r>
              <w:t xml:space="preserve">0.160</w:t>
            </w:r>
          </w:p>
        </w:tc>
      </w:tr>
      <w:tr>
        <w:tc>
          <w:tcPr/>
          <w:p>
            <w:pPr>
              <w:pStyle w:val="Compact"/>
              <w:jc w:val="left"/>
            </w:pPr>
            <w:r>
              <w:t xml:space="preserve">Остатки</w:t>
            </w:r>
          </w:p>
        </w:tc>
        <w:tc>
          <w:tcPr/>
          <w:p>
            <w:pPr>
              <w:pStyle w:val="Compact"/>
              <w:jc w:val="right"/>
            </w:pPr>
            <w:r>
              <w:t xml:space="preserve">35</w:t>
            </w:r>
          </w:p>
        </w:tc>
        <w:tc>
          <w:tcPr/>
          <w:p>
            <w:pPr>
              <w:pStyle w:val="Compact"/>
              <w:jc w:val="right"/>
            </w:pPr>
            <w:r>
              <w:t xml:space="preserve">3197.333</w:t>
            </w:r>
          </w:p>
        </w:tc>
        <w:tc>
          <w:tcPr/>
          <w:p>
            <w:pPr>
              <w:pStyle w:val="Compact"/>
              <w:jc w:val="right"/>
            </w:pPr>
            <w:r>
              <w:t xml:space="preserve">91.352</w:t>
            </w:r>
          </w:p>
        </w:tc>
        <w:tc>
          <w:tcPr/>
          <w:p>
            <w:pPr>
              <w:pStyle w:val="Compact"/>
            </w:pPr>
          </w:p>
        </w:tc>
        <w:tc>
          <w:tcPr/>
          <w:p>
            <w:pPr>
              <w:pStyle w:val="Compact"/>
            </w:pPr>
          </w:p>
        </w:tc>
      </w:tr>
    </w:tbl>
    <w:p/>
    <w:p>
      <w:pPr>
        <w:pStyle w:val="TableCaption"/>
      </w:pPr>
      <w:r>
        <w:t xml:space="preserve">Табл. ++. Результаты дисперсионного анализа модели, описывающей связь времени начала движения с размером и статусом литторин.</w:t>
      </w:r>
    </w:p>
    <w:tbl>
      <w:tblPr>
        <w:tblStyle w:val="Table"/>
        <w:tblW w:type="pct" w:w="5000"/>
        <w:tblLook w:firstRow="1" w:lastRow="0" w:firstColumn="0" w:lastColumn="0" w:noHBand="0" w:noVBand="0" w:val="0020"/>
        <w:tblCaption w:val="Табл. ++. Результаты дисперсионного анализа модели, описывающей связь времени начала движения с размером и статусом литторин."/>
      </w:tblPr>
      <w:tblGrid>
        <w:gridCol w:w="2151"/>
        <w:gridCol w:w="2248"/>
        <w:gridCol w:w="1173"/>
        <w:gridCol w:w="1075"/>
        <w:gridCol w:w="684"/>
        <w:gridCol w:w="586"/>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19697.664</w:t>
            </w:r>
          </w:p>
        </w:tc>
        <w:tc>
          <w:tcPr/>
          <w:p>
            <w:pPr>
              <w:pStyle w:val="Compact"/>
              <w:jc w:val="right"/>
            </w:pPr>
            <w:r>
              <w:t xml:space="preserve">19697.664</w:t>
            </w:r>
          </w:p>
        </w:tc>
        <w:tc>
          <w:tcPr/>
          <w:p>
            <w:pPr>
              <w:pStyle w:val="Compact"/>
              <w:jc w:val="right"/>
            </w:pPr>
            <w:r>
              <w:t xml:space="preserve">1.869</w:t>
            </w:r>
          </w:p>
        </w:tc>
        <w:tc>
          <w:tcPr/>
          <w:p>
            <w:pPr>
              <w:pStyle w:val="Compact"/>
              <w:jc w:val="right"/>
            </w:pPr>
            <w:r>
              <w:t xml:space="preserve">0.174</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568006.058</w:t>
            </w:r>
          </w:p>
        </w:tc>
        <w:tc>
          <w:tcPr/>
          <w:p>
            <w:pPr>
              <w:pStyle w:val="Compact"/>
              <w:jc w:val="right"/>
            </w:pPr>
            <w:r>
              <w:t xml:space="preserve">568006.058</w:t>
            </w:r>
          </w:p>
        </w:tc>
        <w:tc>
          <w:tcPr/>
          <w:p>
            <w:pPr>
              <w:pStyle w:val="Compact"/>
              <w:jc w:val="right"/>
            </w:pPr>
            <w:r>
              <w:t xml:space="preserve">53.890</w:t>
            </w:r>
          </w:p>
        </w:tc>
        <w:tc>
          <w:tcPr/>
          <w:p>
            <w:pPr>
              <w:pStyle w:val="Compact"/>
              <w:jc w:val="right"/>
            </w:pPr>
            <w:r>
              <w:t xml:space="preserve">0.000</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8338.428</w:t>
            </w:r>
          </w:p>
        </w:tc>
        <w:tc>
          <w:tcPr/>
          <w:p>
            <w:pPr>
              <w:pStyle w:val="Compact"/>
              <w:jc w:val="right"/>
            </w:pPr>
            <w:r>
              <w:t xml:space="preserve">8338.428</w:t>
            </w:r>
          </w:p>
        </w:tc>
        <w:tc>
          <w:tcPr/>
          <w:p>
            <w:pPr>
              <w:pStyle w:val="Compact"/>
              <w:jc w:val="right"/>
            </w:pPr>
            <w:r>
              <w:t xml:space="preserve">0.791</w:t>
            </w:r>
          </w:p>
        </w:tc>
        <w:tc>
          <w:tcPr/>
          <w:p>
            <w:pPr>
              <w:pStyle w:val="Compact"/>
              <w:jc w:val="right"/>
            </w:pPr>
            <w:r>
              <w:t xml:space="preserve">0.376</w:t>
            </w:r>
          </w:p>
        </w:tc>
      </w:tr>
      <w:tr>
        <w:tc>
          <w:tcPr/>
          <w:p>
            <w:pPr>
              <w:pStyle w:val="Compact"/>
              <w:jc w:val="left"/>
            </w:pPr>
            <w:r>
              <w:t xml:space="preserve">Остатки</w:t>
            </w:r>
          </w:p>
        </w:tc>
        <w:tc>
          <w:tcPr/>
          <w:p>
            <w:pPr>
              <w:pStyle w:val="Compact"/>
              <w:jc w:val="right"/>
            </w:pPr>
            <w:r>
              <w:t xml:space="preserve">112</w:t>
            </w:r>
          </w:p>
        </w:tc>
        <w:tc>
          <w:tcPr/>
          <w:p>
            <w:pPr>
              <w:pStyle w:val="Compact"/>
              <w:jc w:val="right"/>
            </w:pPr>
            <w:r>
              <w:t xml:space="preserve">1180485.643</w:t>
            </w:r>
          </w:p>
        </w:tc>
        <w:tc>
          <w:tcPr/>
          <w:p>
            <w:pPr>
              <w:pStyle w:val="Compact"/>
              <w:jc w:val="right"/>
            </w:pPr>
            <w:r>
              <w:t xml:space="preserve">10540.050</w:t>
            </w:r>
          </w:p>
        </w:tc>
        <w:tc>
          <w:tcPr/>
          <w:p>
            <w:pPr>
              <w:pStyle w:val="Compact"/>
            </w:pPr>
          </w:p>
        </w:tc>
        <w:tc>
          <w:tcPr/>
          <w:p>
            <w:pPr>
              <w:pStyle w:val="Compact"/>
            </w:pPr>
          </w:p>
        </w:tc>
      </w:tr>
    </w:tbl>
    <w:bookmarkEnd w:id="44"/>
    <w:bookmarkEnd w:id="45"/>
    <w:bookmarkStart w:id="46" w:name="обсуждение"/>
    <w:p>
      <w:pPr>
        <w:pStyle w:val="Heading1"/>
      </w:pPr>
      <w:r>
        <w:t xml:space="preserve">Обсуждение</w:t>
      </w:r>
    </w:p>
    <w:p>
      <w:pPr>
        <w:pStyle w:val="FirstParagraph"/>
      </w:pPr>
      <w:r>
        <w:t xml:space="preserve">Полученные нами результаты показывают, что по анализируемым нами параметрам свободные гидробии мало отличаются от плененых. Дисперсионный анализ не выявил значимых различй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это слабая положиетльная связь скорости движения с размером устья. Однако эта связь лежит за пределами задач данной работы.</w:t>
      </w:r>
    </w:p>
    <w:p>
      <w:pPr>
        <w:pStyle w:val="BodyText"/>
      </w:pPr>
      <w:r>
        <w:t xml:space="preserve">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 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pPr>
        <w:pStyle w:val="BodyText"/>
      </w:pPr>
      <w:r>
        <w:t xml:space="preserve">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w:t>
      </w:r>
      <w:r>
        <w:t xml:space="preserve"> </w:t>
      </w:r>
      <w:r>
        <w:t xml:space="preserve">[11]</w:t>
      </w:r>
      <w:r>
        <w:t xml:space="preserve">. Было показано, ,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w:t>
      </w:r>
      <w:r>
        <w:t xml:space="preserve"> </w:t>
      </w:r>
      <w:r>
        <w:t xml:space="preserve">[11]</w:t>
      </w:r>
      <w:r>
        <w:t xml:space="preserve">.</w:t>
      </w:r>
    </w:p>
    <w:p>
      <w:pPr>
        <w:pStyle w:val="BodyText"/>
      </w:pPr>
      <w:r>
        <w:t xml:space="preserve">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w:t>
      </w:r>
      <w:r>
        <w:t xml:space="preserve"> </w:t>
      </w:r>
      <w:r>
        <w:t xml:space="preserve">[7]</w:t>
      </w:r>
      <w:r>
        <w:t xml:space="preserve">. Гидробии же могут собирать осадок с поверхности грунта</w:t>
      </w:r>
      <w:r>
        <w:t xml:space="preserve"> </w:t>
      </w:r>
      <w:r>
        <w:t xml:space="preserve">[5]</w:t>
      </w:r>
      <w:r>
        <w:t xml:space="preserve">.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w:t>
      </w:r>
      <w:r>
        <w:t xml:space="preserve"> </w:t>
      </w:r>
      <w:r>
        <w:t xml:space="preserve">[5]</w:t>
      </w:r>
      <w:r>
        <w:t xml:space="preserve">.</w:t>
      </w:r>
    </w:p>
    <w:p>
      <w:pPr>
        <w:pStyle w:val="BodyText"/>
      </w:pPr>
      <w:r>
        <w:t xml:space="preserve">Передвижение брюхоногих моллюсков по субстрату крайне энерго затратное действие</w:t>
      </w:r>
      <w:r>
        <w:t xml:space="preserve"> </w:t>
      </w:r>
      <w:r>
        <w:t xml:space="preserve">[3]</w:t>
      </w:r>
      <w:r>
        <w:t xml:space="preserve">, по этому можно предполложить, что скорость движения и время начала движения напрямую зависят от степени насыщенности животного</w:t>
      </w:r>
      <w:r>
        <w:t xml:space="preserve"> </w:t>
      </w:r>
      <w:r>
        <w:t xml:space="preserve">[1]</w:t>
      </w:r>
      <w:r>
        <w:t xml:space="preserve">. У голодных моллюсков ожидается снижение скорости и уведичение времени начала движения. Иное дело направление движения. Степень прямолинейности перемещения трудно связать с обилем пищи. При этом плененные литторины демонстрировали более прямолинейное движение, чем свободные. Набдюдаеому явлению мы можеи дать два объснения. Во-первых, для литторин известно явление хоминга</w:t>
      </w:r>
      <w:r>
        <w:t xml:space="preserve"> </w:t>
      </w:r>
      <w:r>
        <w:t xml:space="preserve">[6]</w:t>
      </w:r>
      <w:r>
        <w:t xml:space="preserve">: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должа быть ниже. Поскольку пленение литторин в друзах, скорее всего, является вредным, то возвращение в данное место кажется невыгодным.</w:t>
      </w:r>
    </w:p>
    <w:p>
      <w:pPr>
        <w:pStyle w:val="BodyText"/>
      </w:pPr>
      <w:r>
        <w:t xml:space="preserve">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w:t>
      </w:r>
      <w:r>
        <w:t xml:space="preserve"> </w:t>
      </w:r>
      <w:r>
        <w:t xml:space="preserve">[8]</w:t>
      </w:r>
      <w:r>
        <w:t xml:space="preserve"> </w:t>
      </w:r>
      <w:r>
        <w:t xml:space="preserve">говорится, что литторины, не подвергшиеся воздействию, двигались в случайном направление в отлчие от тех, что подверглись, которые двигались более направленно.</w:t>
      </w:r>
    </w:p>
    <w:bookmarkEnd w:id="46"/>
    <w:bookmarkStart w:id="47" w:name="заключение"/>
    <w:p>
      <w:pPr>
        <w:pStyle w:val="Heading1"/>
      </w:pPr>
      <w:r>
        <w:t xml:space="preserve">Заключение</w:t>
      </w:r>
    </w:p>
    <w:p>
      <w:pPr>
        <w:pStyle w:val="FirstParagraph"/>
      </w:pPr>
      <w:r>
        <w:t xml:space="preserve">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выявленно, что плененные литторины имели меньшую вариабельность углов продвижения, чем свободные.</w:t>
      </w:r>
    </w:p>
    <w:bookmarkEnd w:id="47"/>
    <w:bookmarkStart w:id="72" w:name="список-литературы"/>
    <w:p>
      <w:pPr>
        <w:pStyle w:val="Heading1"/>
      </w:pPr>
      <w:r>
        <w:t xml:space="preserve">Список литературы</w:t>
      </w:r>
    </w:p>
    <w:bookmarkStart w:id="71" w:name="refs"/>
    <w:bookmarkStart w:id="48" w:name="ref-calow1974"/>
    <w:p>
      <w:pPr>
        <w:pStyle w:val="Bibliography"/>
      </w:pPr>
      <w:r>
        <w:t xml:space="preserve">1. Calow, P.</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w:t>
      </w:r>
      <w:r>
        <w:t xml:space="preserve">/ Calow, P //</w:t>
      </w:r>
      <w:r>
        <w:t xml:space="preserve"> </w:t>
      </w:r>
      <w:r>
        <w:t xml:space="preserve">Oecologia</w:t>
      </w:r>
      <w:r>
        <w:t xml:space="preserve">. – 1974. – Vol. 16. – P. 149-1611. Calow, P.</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w:t>
      </w:r>
      <w:r>
        <w:t xml:space="preserve">/ Calow, P //</w:t>
      </w:r>
      <w:r>
        <w:t xml:space="preserve"> </w:t>
      </w:r>
      <w:r>
        <w:t xml:space="preserve">Oecologia</w:t>
      </w:r>
      <w:r>
        <w:t xml:space="preserve">. – 1974. – Vol. 16. – P. 149-161.</w:t>
      </w:r>
    </w:p>
    <w:bookmarkEnd w:id="48"/>
    <w:bookmarkStart w:id="49" w:name="ref-dittmann1990"/>
    <w:p>
      <w:pPr>
        <w:pStyle w:val="Bibliography"/>
      </w:pPr>
      <w:r>
        <w:t xml:space="preserve">2. Dittmann, Sabine.</w:t>
      </w:r>
      <w:r>
        <w:t xml:space="preserve"> </w:t>
      </w:r>
      <w:r>
        <w:t xml:space="preserve">Mussel beds—amensalism or amelioration for intertidal fauna?</w:t>
      </w:r>
      <w:r>
        <w:t xml:space="preserve"> </w:t>
      </w:r>
      <w:r>
        <w:t xml:space="preserve">/ Dittmann, Sabine //</w:t>
      </w:r>
      <w:r>
        <w:t xml:space="preserve"> </w:t>
      </w:r>
      <w:r>
        <w:t xml:space="preserve">Helgol</w:t>
      </w:r>
      <w:r>
        <w:t xml:space="preserve">ä</w:t>
      </w:r>
      <w:r>
        <w:t xml:space="preserve">nder Meeresuntersuchungen</w:t>
      </w:r>
      <w:r>
        <w:t xml:space="preserve">. – 1990. – Vol. 44. – P. 335-3522. Dittmann, Sabine.</w:t>
      </w:r>
      <w:r>
        <w:t xml:space="preserve"> </w:t>
      </w:r>
      <w:r>
        <w:t xml:space="preserve">Mussel beds—amensalism or amelioration for intertidal fauna?</w:t>
      </w:r>
      <w:r>
        <w:t xml:space="preserve"> </w:t>
      </w:r>
      <w:r>
        <w:t xml:space="preserve">/ Dittmann, Sabine //</w:t>
      </w:r>
      <w:r>
        <w:t xml:space="preserve"> </w:t>
      </w:r>
      <w:r>
        <w:t xml:space="preserve">Helgol</w:t>
      </w:r>
      <w:r>
        <w:t xml:space="preserve">ä</w:t>
      </w:r>
      <w:r>
        <w:t xml:space="preserve">nder Meeresuntersuchungen</w:t>
      </w:r>
      <w:r>
        <w:t xml:space="preserve">. – 1990. – Vol. 44. – P. 335-352.</w:t>
      </w:r>
    </w:p>
    <w:bookmarkEnd w:id="49"/>
    <w:bookmarkStart w:id="50" w:name="ref-houlihan1982"/>
    <w:p>
      <w:pPr>
        <w:pStyle w:val="Bibliography"/>
      </w:pPr>
      <w:r>
        <w:t xml:space="preserve">3. Houlihan, DF and Innes, AJ.</w:t>
      </w:r>
      <w:r>
        <w:t xml:space="preserve"> </w:t>
      </w:r>
      <w:r>
        <w:t xml:space="preserve">Oxygen consumption, crawling speeds, and cost of transport in four Mediterranean intertidal gastropods</w:t>
      </w:r>
      <w:r>
        <w:t xml:space="preserve"> </w:t>
      </w:r>
      <w:r>
        <w:t xml:space="preserve">/ Houlihan, DF and Innes, AJ //</w:t>
      </w:r>
      <w:r>
        <w:t xml:space="preserve"> </w:t>
      </w:r>
      <w:r>
        <w:t xml:space="preserve">Journal of comparative physiology</w:t>
      </w:r>
      <w:r>
        <w:t xml:space="preserve">. – 1982. – Vol. 147. – P. 113-1213. Houlihan, DF and Innes, AJ.</w:t>
      </w:r>
      <w:r>
        <w:t xml:space="preserve"> </w:t>
      </w:r>
      <w:r>
        <w:t xml:space="preserve">Oxygen consumption, crawling speeds, and cost of transport in four Mediterranean intertidal gastropods</w:t>
      </w:r>
      <w:r>
        <w:t xml:space="preserve"> </w:t>
      </w:r>
      <w:r>
        <w:t xml:space="preserve">/ Houlihan, DF and Innes, AJ //</w:t>
      </w:r>
      <w:r>
        <w:t xml:space="preserve"> </w:t>
      </w:r>
      <w:r>
        <w:t xml:space="preserve">Journal of comparative physiology</w:t>
      </w:r>
      <w:r>
        <w:t xml:space="preserve">. – 1982. – Vol. 147. – P. 113-121.</w:t>
      </w:r>
    </w:p>
    <w:bookmarkEnd w:id="50"/>
    <w:bookmarkStart w:id="51" w:name="ref-kappes2012"/>
    <w:p>
      <w:pPr>
        <w:pStyle w:val="Bibliography"/>
      </w:pPr>
      <w:r>
        <w:t xml:space="preserve">4. Kappes, Heike and Haase, Peter.</w:t>
      </w:r>
      <w:r>
        <w:t xml:space="preserve"> </w:t>
      </w:r>
      <w:r>
        <w:t xml:space="preserve">Slow, but steady: dispersal of freshwater molluscs</w:t>
      </w:r>
      <w:r>
        <w:t xml:space="preserve"> </w:t>
      </w:r>
      <w:r>
        <w:t xml:space="preserve">/ Kappes, Heike and Haase, Peter //</w:t>
      </w:r>
      <w:r>
        <w:t xml:space="preserve"> </w:t>
      </w:r>
      <w:r>
        <w:t xml:space="preserve">Aquatic Sciences</w:t>
      </w:r>
      <w:r>
        <w:t xml:space="preserve">. – 2012. – Vol. 74. – № 1. – P. 1-144. Kappes, Heike and Haase, Peter.</w:t>
      </w:r>
      <w:r>
        <w:t xml:space="preserve"> </w:t>
      </w:r>
      <w:r>
        <w:t xml:space="preserve">Slow, but steady: dispersal of freshwater molluscs</w:t>
      </w:r>
      <w:r>
        <w:t xml:space="preserve"> </w:t>
      </w:r>
      <w:r>
        <w:t xml:space="preserve">/ Kappes, Heike and Haase, Peter //</w:t>
      </w:r>
      <w:r>
        <w:t xml:space="preserve"> </w:t>
      </w:r>
      <w:r>
        <w:t xml:space="preserve">Aquatic Sciences</w:t>
      </w:r>
      <w:r>
        <w:t xml:space="preserve">. – 2012. – Vol. 74. – № 1. – P. 1-14.</w:t>
      </w:r>
    </w:p>
    <w:bookmarkEnd w:id="51"/>
    <w:bookmarkStart w:id="52" w:name="ref-lopez1978"/>
    <w:p>
      <w:pPr>
        <w:pStyle w:val="Bibliography"/>
      </w:pPr>
      <w:r>
        <w:t xml:space="preserve">5. Lopez, Glenn R and Levinton, Jeffrey S.</w:t>
      </w:r>
      <w:r>
        <w:t xml:space="preserve"> </w:t>
      </w:r>
      <w:r>
        <w:t xml:space="preserve">The availability of microorganisms attached to sediment particles as food for Hydrobia ventrosa Montagu (Gastropoda: Prosobranchia)</w:t>
      </w:r>
      <w:r>
        <w:t xml:space="preserve"> </w:t>
      </w:r>
      <w:r>
        <w:t xml:space="preserve">/ Lopez, Glenn R and Levinton, Jeffrey S //</w:t>
      </w:r>
      <w:r>
        <w:t xml:space="preserve"> </w:t>
      </w:r>
      <w:r>
        <w:t xml:space="preserve">Oecologia</w:t>
      </w:r>
      <w:r>
        <w:t xml:space="preserve">. – 1978. – Vol. 32. – P. 263-2755. Lopez, Glenn R and Levinton, Jeffrey S.</w:t>
      </w:r>
      <w:r>
        <w:t xml:space="preserve"> </w:t>
      </w:r>
      <w:r>
        <w:t xml:space="preserve">The availability of microorganisms attached to sediment particles as food for Hydrobia ventrosa Montagu (Gastropoda: Prosobranchia)</w:t>
      </w:r>
      <w:r>
        <w:t xml:space="preserve"> </w:t>
      </w:r>
      <w:r>
        <w:t xml:space="preserve">/ Lopez, Glenn R and Levinton, Jeffrey S //</w:t>
      </w:r>
      <w:r>
        <w:t xml:space="preserve"> </w:t>
      </w:r>
      <w:r>
        <w:t xml:space="preserve">Oecologia</w:t>
      </w:r>
      <w:r>
        <w:t xml:space="preserve">. – 1978. – Vol. 32. – P. 263-275.</w:t>
      </w:r>
    </w:p>
    <w:bookmarkEnd w:id="52"/>
    <w:bookmarkStart w:id="53" w:name="ref-newell1958"/>
    <w:p>
      <w:pPr>
        <w:pStyle w:val="Bibliography"/>
      </w:pPr>
      <w:r>
        <w:t xml:space="preserve">6. Newell, GE.</w:t>
      </w:r>
      <w:r>
        <w:t xml:space="preserve"> </w:t>
      </w:r>
      <w:r>
        <w:t xml:space="preserve">The behaviour of Littorina littorea (L.) under natural conditions and its relation to position on the shore</w:t>
      </w:r>
      <w:r>
        <w:t xml:space="preserve"> </w:t>
      </w:r>
      <w:r>
        <w:t xml:space="preserve">/ Newell, GE //</w:t>
      </w:r>
      <w:r>
        <w:t xml:space="preserve"> </w:t>
      </w:r>
      <w:r>
        <w:t xml:space="preserve">Journal of the Marine Biological Association of the United Kingdom</w:t>
      </w:r>
      <w:r>
        <w:t xml:space="preserve">. – 1958. – Vol. 37. – № 1. – P. 229-2396. Newell, GE.</w:t>
      </w:r>
      <w:r>
        <w:t xml:space="preserve"> </w:t>
      </w:r>
      <w:r>
        <w:t xml:space="preserve">The behaviour of Littorina littorea (L.) under natural conditions and its relation to position on the shore</w:t>
      </w:r>
      <w:r>
        <w:t xml:space="preserve"> </w:t>
      </w:r>
      <w:r>
        <w:t xml:space="preserve">/ Newell, GE //</w:t>
      </w:r>
      <w:r>
        <w:t xml:space="preserve"> </w:t>
      </w:r>
      <w:r>
        <w:t xml:space="preserve">Journal of the Marine Biological Association of the United Kingdom</w:t>
      </w:r>
      <w:r>
        <w:t xml:space="preserve">. – 1958. – Vol. 37. – № 1. – P. 229-239.</w:t>
      </w:r>
    </w:p>
    <w:bookmarkEnd w:id="53"/>
    <w:bookmarkStart w:id="54" w:name="ref-otero1997"/>
    <w:p>
      <w:pPr>
        <w:pStyle w:val="Bibliography"/>
      </w:pPr>
      <w:r>
        <w:t xml:space="preserve">7. Otero-Schmitt, J and Cruz, R and Garcia, C and Rolán-Alvarez, E.</w:t>
      </w:r>
      <w:r>
        <w:t xml:space="preserve"> </w:t>
      </w:r>
      <w:r>
        <w:t xml:space="preserve">Feeding strategy and habitat choice in Littorina saxatilis (Gastropoda: Prosobranchia) and their role in the origin and maintenance of a sympatric polymorphism</w:t>
      </w:r>
      <w:r>
        <w:t xml:space="preserve"> </w:t>
      </w:r>
      <w:r>
        <w:t xml:space="preserve">/ Otero-Schmitt, J and Cruz, R and Garcia, C and Rolán-Alvarez, E //</w:t>
      </w:r>
      <w:r>
        <w:t xml:space="preserve"> </w:t>
      </w:r>
      <w:r>
        <w:t xml:space="preserve">Ophelia</w:t>
      </w:r>
      <w:r>
        <w:t xml:space="preserve">. – 1997. – Vol. 46. – № 3. – P. 205-2167. Otero-Schmitt, J and Cruz, R and Garcia, C and Rolán-Alvarez, E.</w:t>
      </w:r>
      <w:r>
        <w:t xml:space="preserve"> </w:t>
      </w:r>
      <w:r>
        <w:t xml:space="preserve">Feeding strategy and habitat choice in Littorina saxatilis (Gastropoda: Prosobranchia) and their role in the origin and maintenance of a sympatric polymorphism</w:t>
      </w:r>
      <w:r>
        <w:t xml:space="preserve"> </w:t>
      </w:r>
      <w:r>
        <w:t xml:space="preserve">/ Otero-Schmitt, J and Cruz, R and Garcia, C and Rolán-Alvarez, E //</w:t>
      </w:r>
      <w:r>
        <w:t xml:space="preserve"> </w:t>
      </w:r>
      <w:r>
        <w:t xml:space="preserve">Ophelia</w:t>
      </w:r>
      <w:r>
        <w:t xml:space="preserve">. – 1997. – Vol. 46. – № 3. – P. 205-216.</w:t>
      </w:r>
    </w:p>
    <w:bookmarkEnd w:id="54"/>
    <w:bookmarkStart w:id="55" w:name="ref-petraitis1982"/>
    <w:p>
      <w:pPr>
        <w:pStyle w:val="Bibliography"/>
      </w:pPr>
      <w:r>
        <w:t xml:space="preserve">8. Petraitis, Peter S.</w:t>
      </w:r>
      <w:r>
        <w:t xml:space="preserve"> </w:t>
      </w:r>
      <w:r>
        <w:t xml:space="preserve">Occurrence of random and directional movements in the periwinkle, Littorina littorea (L.)</w:t>
      </w:r>
      <w:r>
        <w:t xml:space="preserve"> </w:t>
      </w:r>
      <w:r>
        <w:t xml:space="preserve">/ Petraitis, Peter S //</w:t>
      </w:r>
      <w:r>
        <w:t xml:space="preserve"> </w:t>
      </w:r>
      <w:r>
        <w:t xml:space="preserve">Journal of Experimental Marine Biology and Ecology</w:t>
      </w:r>
      <w:r>
        <w:t xml:space="preserve">. – 1982. – Vol. 59. – № 2-3. – P. 207-2178. Petraitis, Peter S.</w:t>
      </w:r>
      <w:r>
        <w:t xml:space="preserve"> </w:t>
      </w:r>
      <w:r>
        <w:t xml:space="preserve">Occurrence of random and directional movements in the periwinkle, Littorina littorea (L.)</w:t>
      </w:r>
      <w:r>
        <w:t xml:space="preserve"> </w:t>
      </w:r>
      <w:r>
        <w:t xml:space="preserve">/ Petraitis, Peter S //</w:t>
      </w:r>
      <w:r>
        <w:t xml:space="preserve"> </w:t>
      </w:r>
      <w:r>
        <w:t xml:space="preserve">Journal of Experimental Marine Biology and Ecology</w:t>
      </w:r>
      <w:r>
        <w:t xml:space="preserve">. – 1982. – Vol. 59. – № 2-3. – P. 207-217.</w:t>
      </w:r>
    </w:p>
    <w:bookmarkEnd w:id="55"/>
    <w:bookmarkStart w:id="56" w:name="ref-tsuchiya1986"/>
    <w:p>
      <w:pPr>
        <w:pStyle w:val="Bibliography"/>
      </w:pPr>
      <w:r>
        <w:t xml:space="preserve">9. Tsuchiya, M and Nishihira, M.</w:t>
      </w:r>
      <w:r>
        <w:t xml:space="preserve"> </w:t>
      </w:r>
      <w:r>
        <w:t xml:space="preserve">Islands of Mytilus edulis as a habitat for small intertidal animals: effect of Mytilus age structure on the species composition of the associated fauna and community organization</w:t>
      </w:r>
      <w:r>
        <w:t xml:space="preserve"> </w:t>
      </w:r>
      <w:r>
        <w:t xml:space="preserve">/ Tsuchiya, M and Nishihira, M //</w:t>
      </w:r>
      <w:r>
        <w:t xml:space="preserve"> </w:t>
      </w:r>
      <w:r>
        <w:t xml:space="preserve">Marine Ecology Progress Series</w:t>
      </w:r>
      <w:r>
        <w:t xml:space="preserve">. – 1986. – P. 171-1789. Tsuchiya, M and Nishihira, M.</w:t>
      </w:r>
      <w:r>
        <w:t xml:space="preserve"> </w:t>
      </w:r>
      <w:r>
        <w:t xml:space="preserve">Islands of Mytilus edulis as a habitat for small intertidal animals: effect of Mytilus age structure on the species composition of the associated fauna and community organization</w:t>
      </w:r>
      <w:r>
        <w:t xml:space="preserve"> </w:t>
      </w:r>
      <w:r>
        <w:t xml:space="preserve">/ Tsuchiya, M and Nishihira, M //</w:t>
      </w:r>
      <w:r>
        <w:t xml:space="preserve"> </w:t>
      </w:r>
      <w:r>
        <w:t xml:space="preserve">Marine Ecology Progress Series</w:t>
      </w:r>
      <w:r>
        <w:t xml:space="preserve">. – 1986. – P. 171-178.</w:t>
      </w:r>
    </w:p>
    <w:bookmarkEnd w:id="56"/>
    <w:bookmarkStart w:id="57" w:name="ref-beklemish1951"/>
    <w:p>
      <w:pPr>
        <w:pStyle w:val="Bibliography"/>
      </w:pPr>
      <w:r>
        <w:t xml:space="preserve">10. Беклемишев, ВН.</w:t>
      </w:r>
      <w:r>
        <w:t xml:space="preserve"> </w:t>
      </w:r>
      <w:r>
        <w:t xml:space="preserve">О классификации биоценологических (симфизиологических) связей</w:t>
      </w:r>
      <w:r>
        <w:t xml:space="preserve"> </w:t>
      </w:r>
      <w:r>
        <w:t xml:space="preserve">/ Беклемишев, ВН //</w:t>
      </w:r>
      <w:r>
        <w:t xml:space="preserve"> </w:t>
      </w:r>
      <w:r>
        <w:t xml:space="preserve">Бюлл. МОИП. Отд. биол</w:t>
      </w:r>
      <w:r>
        <w:t xml:space="preserve">. – 1951. – Vol. 56. – № 5. – P. 3-3010. Беклемишев, ВН.</w:t>
      </w:r>
      <w:r>
        <w:t xml:space="preserve"> </w:t>
      </w:r>
      <w:r>
        <w:t xml:space="preserve">О классификации биоценологических (симфизиологических) связей</w:t>
      </w:r>
      <w:r>
        <w:t xml:space="preserve"> </w:t>
      </w:r>
      <w:r>
        <w:t xml:space="preserve">/ Беклемишев, ВН //</w:t>
      </w:r>
      <w:r>
        <w:t xml:space="preserve"> </w:t>
      </w:r>
      <w:r>
        <w:t xml:space="preserve">Бюлл. МОИП. Отд. биол</w:t>
      </w:r>
      <w:r>
        <w:t xml:space="preserve">. – 1951. – Vol. 56. – № 5. – P. 3-30.</w:t>
      </w:r>
    </w:p>
    <w:bookmarkEnd w:id="57"/>
    <w:bookmarkStart w:id="59" w:name="ref-britikov2022"/>
    <w:p>
      <w:pPr>
        <w:pStyle w:val="Bibliography"/>
      </w:pPr>
      <w:r>
        <w:t xml:space="preserve">11. Бритиков, А.</w:t>
      </w:r>
      <w:r>
        <w:t xml:space="preserve"> </w:t>
      </w:r>
      <w:hyperlink r:id="rId58">
        <w:r>
          <w:rPr>
            <w:rStyle w:val="Hyperlink"/>
          </w:rPr>
          <w:t xml:space="preserve">Влияние биссусного прикрепления на</w:t>
        </w:r>
        <w:r>
          <w:rPr>
            <w:rStyle w:val="Hyperlink"/>
          </w:rPr>
          <w:t xml:space="preserve"> </w:t>
        </w:r>
      </w:hyperlink>
      <w:r>
        <w:t xml:space="preserve"> </w:t>
      </w:r>
      <w:r>
        <w:t xml:space="preserve">/ Бритиков, А.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2022.11. Бритиков, А.</w:t>
      </w:r>
      <w:r>
        <w:t xml:space="preserve"> </w:t>
      </w:r>
      <w:hyperlink r:id="rId58">
        <w:r>
          <w:rPr>
            <w:rStyle w:val="Hyperlink"/>
          </w:rPr>
          <w:t xml:space="preserve">Влияние биссусного прикрепления на</w:t>
        </w:r>
        <w:r>
          <w:rPr>
            <w:rStyle w:val="Hyperlink"/>
          </w:rPr>
          <w:t xml:space="preserve"> </w:t>
        </w:r>
      </w:hyperlink>
      <w:r>
        <w:t xml:space="preserve"> </w:t>
      </w:r>
      <w:r>
        <w:t xml:space="preserve">/ Бритиков, А.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2022.</w:t>
      </w:r>
    </w:p>
    <w:bookmarkEnd w:id="59"/>
    <w:bookmarkStart w:id="60" w:name="ref-brod2007"/>
    <w:p>
      <w:pPr>
        <w:pStyle w:val="Bibliography"/>
      </w:pPr>
      <w:r>
        <w:t xml:space="preserve">12. Бродский, АК.</w:t>
      </w:r>
      <w:r>
        <w:t xml:space="preserve"> </w:t>
      </w:r>
      <w:r>
        <w:t xml:space="preserve">Общая экология</w:t>
      </w:r>
      <w:r>
        <w:t xml:space="preserve"> </w:t>
      </w:r>
      <w:r>
        <w:t xml:space="preserve">/ Бродский, АК. –</w:t>
      </w:r>
      <w:r>
        <w:t xml:space="preserve"> </w:t>
      </w:r>
      <w:r>
        <w:t xml:space="preserve">Академия</w:t>
      </w:r>
      <w:r>
        <w:t xml:space="preserve">, 2007.12. Бродский, АК.</w:t>
      </w:r>
      <w:r>
        <w:t xml:space="preserve"> </w:t>
      </w:r>
      <w:r>
        <w:t xml:space="preserve">Общая экология</w:t>
      </w:r>
      <w:r>
        <w:t xml:space="preserve"> </w:t>
      </w:r>
      <w:r>
        <w:t xml:space="preserve">/ Бродский, АК. –</w:t>
      </w:r>
      <w:r>
        <w:t xml:space="preserve"> </w:t>
      </w:r>
      <w:r>
        <w:t xml:space="preserve">Академия</w:t>
      </w:r>
      <w:r>
        <w:t xml:space="preserve">, 2007.</w:t>
      </w:r>
    </w:p>
    <w:bookmarkEnd w:id="60"/>
    <w:bookmarkStart w:id="61" w:name="ref-varigin2018"/>
    <w:p>
      <w:pPr>
        <w:pStyle w:val="Bibliography"/>
      </w:pPr>
      <w:r>
        <w:t xml:space="preserve">13. Варигин, АЮ.</w:t>
      </w:r>
      <w:r>
        <w:t xml:space="preserve"> </w:t>
      </w:r>
      <w:r>
        <w:t xml:space="preserve">Биотические связи в сообществе обрастания Одесского залива Черного моря</w:t>
      </w:r>
      <w:r>
        <w:t xml:space="preserve"> </w:t>
      </w:r>
      <w:r>
        <w:t xml:space="preserve">/ Варигин, АЮ //</w:t>
      </w:r>
      <w:r>
        <w:t xml:space="preserve"> </w:t>
      </w:r>
      <w:r>
        <w:t xml:space="preserve">Biosystems Diversity</w:t>
      </w:r>
      <w:r>
        <w:t xml:space="preserve">. – 2018. – Vol. 26. – № 1. – P. 24-2913. Варигин, АЮ.</w:t>
      </w:r>
      <w:r>
        <w:t xml:space="preserve"> </w:t>
      </w:r>
      <w:r>
        <w:t xml:space="preserve">Биотические связи в сообществе обрастания Одесского залива Черного моря</w:t>
      </w:r>
      <w:r>
        <w:t xml:space="preserve"> </w:t>
      </w:r>
      <w:r>
        <w:t xml:space="preserve">/ Варигин, АЮ //</w:t>
      </w:r>
      <w:r>
        <w:t xml:space="preserve"> </w:t>
      </w:r>
      <w:r>
        <w:t xml:space="preserve">Biosystems Diversity</w:t>
      </w:r>
      <w:r>
        <w:t xml:space="preserve">. – 2018. – Vol. 26. – № 1. – P. 24-29.</w:t>
      </w:r>
    </w:p>
    <w:bookmarkEnd w:id="61"/>
    <w:bookmarkStart w:id="62" w:name="ref-vasiliev2003"/>
    <w:p>
      <w:pPr>
        <w:pStyle w:val="Bibliography"/>
      </w:pPr>
      <w:r>
        <w:t xml:space="preserve">14. Васильев, АВ and Васильева, ЛА.</w:t>
      </w:r>
      <w:r>
        <w:t xml:space="preserve"> </w:t>
      </w:r>
      <w:r>
        <w:t xml:space="preserve">К вопросу о системном обеспечении экологической безопасности в условиях современного города</w:t>
      </w:r>
      <w:r>
        <w:t xml:space="preserve"> </w:t>
      </w:r>
      <w:r>
        <w:t xml:space="preserve">/ Васильев, АВ and Васильева, ЛА //</w:t>
      </w:r>
      <w:r>
        <w:t xml:space="preserve"> </w:t>
      </w:r>
      <w:r>
        <w:t xml:space="preserve">Известия Самарского научного центра Российской академии наук</w:t>
      </w:r>
      <w:r>
        <w:t xml:space="preserve">. – 2003. – Vol. 5. – № 2. – P. 363-36814. Васильев, АВ and Васильева, ЛА.</w:t>
      </w:r>
      <w:r>
        <w:t xml:space="preserve"> </w:t>
      </w:r>
      <w:r>
        <w:t xml:space="preserve">К вопросу о системном обеспечении экологической безопасности в условиях современного города</w:t>
      </w:r>
      <w:r>
        <w:t xml:space="preserve"> </w:t>
      </w:r>
      <w:r>
        <w:t xml:space="preserve">/ Васильев, АВ and Васильева, ЛА //</w:t>
      </w:r>
      <w:r>
        <w:t xml:space="preserve"> </w:t>
      </w:r>
      <w:r>
        <w:t xml:space="preserve">Известия Самарского научного центра Российской академии наук</w:t>
      </w:r>
      <w:r>
        <w:t xml:space="preserve">. – 2003. – Vol. 5. – № 2. – P. 363-368.</w:t>
      </w:r>
    </w:p>
    <w:bookmarkEnd w:id="62"/>
    <w:bookmarkStart w:id="63" w:name="ref-gafarova2019"/>
    <w:p>
      <w:pPr>
        <w:pStyle w:val="Bibliography"/>
      </w:pPr>
      <w:r>
        <w:t xml:space="preserve">15. Гафарова, А.</w:t>
      </w:r>
      <w:r>
        <w:t xml:space="preserve"> </w:t>
      </w:r>
      <w:hyperlink r:id="rId58">
        <w:r>
          <w:rPr>
            <w:rStyle w:val="Hyperlink"/>
          </w:rPr>
          <w:t xml:space="preserve">Фенотипическое разнообразие окраски головы моллюсков Peringia ulvae в Кандалакшском заливе Белого моря.</w:t>
        </w:r>
      </w:hyperlink>
      <w:r>
        <w:t xml:space="preserve"> </w:t>
      </w:r>
      <w:r>
        <w:t xml:space="preserve">/ Гафарова, А.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2019.15. Гафарова, А.</w:t>
      </w:r>
      <w:r>
        <w:t xml:space="preserve"> </w:t>
      </w:r>
      <w:hyperlink r:id="rId58">
        <w:r>
          <w:rPr>
            <w:rStyle w:val="Hyperlink"/>
          </w:rPr>
          <w:t xml:space="preserve">Фенотипическое разнообразие окраски головы моллюсков Peringia ulvae в Кандалакшском заливе Белого моря.</w:t>
        </w:r>
      </w:hyperlink>
      <w:r>
        <w:t xml:space="preserve"> </w:t>
      </w:r>
      <w:r>
        <w:t xml:space="preserve">/ Гафарова, А.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2019.</w:t>
      </w:r>
    </w:p>
    <w:bookmarkEnd w:id="63"/>
    <w:bookmarkStart w:id="64" w:name="ref-kiril2016"/>
    <w:p>
      <w:pPr>
        <w:pStyle w:val="Bibliography"/>
      </w:pPr>
      <w:r>
        <w:t xml:space="preserve">16. Кириллова, Е.</w:t>
      </w:r>
      <w:r>
        <w:t xml:space="preserve"> </w:t>
      </w:r>
      <w:hyperlink r:id="rId58">
        <w:r>
          <w:rPr>
            <w:rStyle w:val="Hyperlink"/>
          </w:rPr>
          <w:t xml:space="preserve">Выбор субстрата брюхоногими моллюсками Littorina и Hydrobia</w:t>
        </w:r>
      </w:hyperlink>
      <w:r>
        <w:t xml:space="preserve"> </w:t>
      </w:r>
      <w:r>
        <w:t xml:space="preserve">/ Кириллова, Е.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2016.16. Кириллова, Е.</w:t>
      </w:r>
      <w:r>
        <w:t xml:space="preserve"> </w:t>
      </w:r>
      <w:hyperlink r:id="rId58">
        <w:r>
          <w:rPr>
            <w:rStyle w:val="Hyperlink"/>
          </w:rPr>
          <w:t xml:space="preserve">Выбор субстрата брюхоногими моллюсками Littorina и Hydrobia</w:t>
        </w:r>
      </w:hyperlink>
      <w:r>
        <w:t xml:space="preserve"> </w:t>
      </w:r>
      <w:r>
        <w:t xml:space="preserve">/ Кириллова, Е. –</w:t>
      </w:r>
      <w:r>
        <w:t xml:space="preserve"> </w:t>
      </w:r>
      <w:r>
        <w:t xml:space="preserve">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r>
        <w:t xml:space="preserve">, 2016.</w:t>
      </w:r>
    </w:p>
    <w:bookmarkEnd w:id="64"/>
    <w:bookmarkStart w:id="65" w:name="ref-kosobok2016"/>
    <w:p>
      <w:pPr>
        <w:pStyle w:val="Bibliography"/>
      </w:pPr>
      <w:r>
        <w:t xml:space="preserve">17. Кособокова, Светлана Рудольфовна and Морозова, Людмила Викторовна.</w:t>
      </w:r>
      <w:r>
        <w:t xml:space="preserve"> </w:t>
      </w:r>
      <w:r>
        <w:t xml:space="preserve">Топические и фензивные связи в консорциях некоторых гидрофитов Дельты Волги</w:t>
      </w:r>
      <w:r>
        <w:t xml:space="preserve"> </w:t>
      </w:r>
      <w:r>
        <w:t xml:space="preserve">/ Кособокова, Светлана Рудольфовна and Морозова, Людмила Викторовна //</w:t>
      </w:r>
      <w:r>
        <w:t xml:space="preserve"> </w:t>
      </w:r>
      <w:r>
        <w:t xml:space="preserve">Географическая среда и живые системы</w:t>
      </w:r>
      <w:r>
        <w:t xml:space="preserve">. – 2016. – № 4. – P. 26-3117. Кособокова, Светлана Рудольфовна and Морозова, Людмила Викторовна.</w:t>
      </w:r>
      <w:r>
        <w:t xml:space="preserve"> </w:t>
      </w:r>
      <w:r>
        <w:t xml:space="preserve">Топические и фензивные связи в консорциях некоторых гидрофитов Дельты Волги</w:t>
      </w:r>
      <w:r>
        <w:t xml:space="preserve"> </w:t>
      </w:r>
      <w:r>
        <w:t xml:space="preserve">/ Кособокова, Светлана Рудольфовна and Морозова, Людмила Викторовна //</w:t>
      </w:r>
      <w:r>
        <w:t xml:space="preserve"> </w:t>
      </w:r>
      <w:r>
        <w:t xml:space="preserve">Географическая среда и живые системы</w:t>
      </w:r>
      <w:r>
        <w:t xml:space="preserve">. – 2016. – № 4. – P. 26-31.</w:t>
      </w:r>
    </w:p>
    <w:bookmarkEnd w:id="65"/>
    <w:bookmarkStart w:id="66" w:name="ref-turmuha2011"/>
    <w:p>
      <w:pPr>
        <w:pStyle w:val="Bibliography"/>
      </w:pPr>
      <w:r>
        <w:t xml:space="preserve">18. Турмухаметова, НВ and Пайдышева, ТП.</w:t>
      </w:r>
      <w:r>
        <w:t xml:space="preserve"> </w:t>
      </w:r>
      <w:r>
        <w:t xml:space="preserve">Состав консортов Betula pendula Roth в некоторых районах Республики Марий Эл</w:t>
      </w:r>
      <w:r>
        <w:t xml:space="preserve"> </w:t>
      </w:r>
      <w:r>
        <w:t xml:space="preserve">/ Турмухаметова, НВ and Пайдышева, ТП //</w:t>
      </w:r>
      <w:r>
        <w:t xml:space="preserve"> </w:t>
      </w:r>
      <w:r>
        <w:t xml:space="preserve">Современные проблемы популяционной экологии, геоботаники, систематики и флористики</w:t>
      </w:r>
      <w:r>
        <w:t xml:space="preserve">. – 2011. – P. 29018. Турмухаметова, НВ and Пайдышева, ТП.</w:t>
      </w:r>
      <w:r>
        <w:t xml:space="preserve"> </w:t>
      </w:r>
      <w:r>
        <w:t xml:space="preserve">Состав консортов Betula pendula Roth в некоторых районах Республики Марий Эл</w:t>
      </w:r>
      <w:r>
        <w:t xml:space="preserve"> </w:t>
      </w:r>
      <w:r>
        <w:t xml:space="preserve">/ Турмухаметова, НВ and Пайдышева, ТП //</w:t>
      </w:r>
      <w:r>
        <w:t xml:space="preserve"> </w:t>
      </w:r>
      <w:r>
        <w:t xml:space="preserve">Современные проблемы популяционной экологии, геоботаники, систематики и флористики</w:t>
      </w:r>
      <w:r>
        <w:t xml:space="preserve">. – 2011. – P. 290.</w:t>
      </w:r>
    </w:p>
    <w:bookmarkEnd w:id="66"/>
    <w:bookmarkStart w:id="67" w:name="ref-throlova2010"/>
    <w:p>
      <w:pPr>
        <w:pStyle w:val="Bibliography"/>
      </w:pPr>
      <w:r>
        <w:t xml:space="preserve">19. Фролова, ТИ.</w:t>
      </w:r>
      <w:r>
        <w:t xml:space="preserve"> </w:t>
      </w:r>
      <w:r>
        <w:t xml:space="preserve">Экология</w:t>
      </w:r>
      <w:r>
        <w:t xml:space="preserve"> </w:t>
      </w:r>
      <w:r>
        <w:t xml:space="preserve">/ Фролова, ТИ. – 2010.19. Фролова, ТИ.</w:t>
      </w:r>
      <w:r>
        <w:t xml:space="preserve"> </w:t>
      </w:r>
      <w:r>
        <w:t xml:space="preserve">Экология</w:t>
      </w:r>
      <w:r>
        <w:t xml:space="preserve"> </w:t>
      </w:r>
      <w:r>
        <w:t xml:space="preserve">/ Фролова, ТИ. – 2010.</w:t>
      </w:r>
    </w:p>
    <w:bookmarkEnd w:id="67"/>
    <w:bookmarkStart w:id="68" w:name="ref-khaitov2007"/>
    <w:p>
      <w:pPr>
        <w:pStyle w:val="Bibliography"/>
      </w:pPr>
      <w:r>
        <w:t xml:space="preserve">20. Хайтов, ВМ and Артемьева, АВ and Горных, АЕ and Жижина, ОГ and Яковис, ЕЛ.</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w:t>
      </w:r>
      <w:r>
        <w:t xml:space="preserve">/ Хайтов, ВМ and Артемьева, АВ and Горных, АЕ and Жижина, ОГ and Яковис, ЕЛ //</w:t>
      </w:r>
      <w:r>
        <w:t xml:space="preserve"> </w:t>
      </w:r>
      <w:r>
        <w:t xml:space="preserve">Biological Communications</w:t>
      </w:r>
      <w:r>
        <w:t xml:space="preserve">. – 2007. – № 4. – P. 13-2620. Хайтов, ВМ and Артемьева, АВ and Горных, АЕ and Жижина, ОГ and Яковис, ЕЛ.</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w:t>
      </w:r>
      <w:r>
        <w:t xml:space="preserve">/ Хайтов, ВМ and Артемьева, АВ and Горных, АЕ and Жижина, ОГ and Яковис, ЕЛ //</w:t>
      </w:r>
      <w:r>
        <w:t xml:space="preserve"> </w:t>
      </w:r>
      <w:r>
        <w:t xml:space="preserve">Biological Communications</w:t>
      </w:r>
      <w:r>
        <w:t xml:space="preserve">. – 2007. – № 4. – P. 13-26.</w:t>
      </w:r>
    </w:p>
    <w:bookmarkEnd w:id="68"/>
    <w:bookmarkStart w:id="69" w:name="ref-khaitov2004"/>
    <w:p>
      <w:pPr>
        <w:pStyle w:val="Bibliography"/>
      </w:pPr>
      <w:r>
        <w:t xml:space="preserve">21. Хайтов, ВМ and Артемьева, АВ.</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w:t>
      </w:r>
      <w:r>
        <w:t xml:space="preserve">/ Хайтов, ВМ and Артемьева, АВ //</w:t>
      </w:r>
      <w:r>
        <w:t xml:space="preserve"> </w:t>
      </w:r>
      <w:r>
        <w:t xml:space="preserve">Biological Communications</w:t>
      </w:r>
      <w:r>
        <w:t xml:space="preserve">. – 2004. – № 4. – P. 35-4121. Хайтов, ВМ and Артемьева, АВ.</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w:t>
      </w:r>
      <w:r>
        <w:t xml:space="preserve">/ Хайтов, ВМ and Артемьева, АВ //</w:t>
      </w:r>
      <w:r>
        <w:t xml:space="preserve"> </w:t>
      </w:r>
      <w:r>
        <w:t xml:space="preserve">Biological Communications</w:t>
      </w:r>
      <w:r>
        <w:t xml:space="preserve">. – 2004. – № 4. – P. 35-41.</w:t>
      </w:r>
    </w:p>
    <w:bookmarkEnd w:id="69"/>
    <w:bookmarkStart w:id="70" w:name="ref-chernova2020"/>
    <w:p>
      <w:pPr>
        <w:pStyle w:val="Bibliography"/>
      </w:pPr>
      <w:r>
        <w:t xml:space="preserve">22. Чернова, Нина and Галушин, Владимир and Константинов, Владимир.</w:t>
      </w:r>
      <w:r>
        <w:t xml:space="preserve"> </w:t>
      </w:r>
      <w:r>
        <w:t xml:space="preserve">Экология. Базовый уровень. 10–11 классы</w:t>
      </w:r>
      <w:r>
        <w:t xml:space="preserve"> </w:t>
      </w:r>
      <w:r>
        <w:t xml:space="preserve">/ Чернова, Нина and Галушин, Владимир and Константинов, Владимир. –</w:t>
      </w:r>
      <w:r>
        <w:t xml:space="preserve"> </w:t>
      </w:r>
      <w:r>
        <w:t xml:space="preserve">Litres</w:t>
      </w:r>
      <w:r>
        <w:t xml:space="preserve">, 2020.22. Чернова, Нина and Галушин, Владимир and Константинов, Владимир.</w:t>
      </w:r>
      <w:r>
        <w:t xml:space="preserve"> </w:t>
      </w:r>
      <w:r>
        <w:t xml:space="preserve">Экология. Базовый уровень. 10–11 классы</w:t>
      </w:r>
      <w:r>
        <w:t xml:space="preserve"> </w:t>
      </w:r>
      <w:r>
        <w:t xml:space="preserve">/ Чернова, Нина and Галушин, Владимир and Константинов, Владимир. –</w:t>
      </w:r>
      <w:r>
        <w:t xml:space="preserve"> </w:t>
      </w:r>
      <w:r>
        <w:t xml:space="preserve">Litres</w:t>
      </w:r>
      <w:r>
        <w:t xml:space="preserve">, 2020.</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58" Target="http://hydrola.ru/manuscripts.html" TargetMode="External" /></Relationships>
</file>

<file path=word/_rels/footnotes.xml.rels><?xml version="1.0" encoding="UTF-8"?><Relationships xmlns="http://schemas.openxmlformats.org/package/2006/relationships"><Relationship Type="http://schemas.openxmlformats.org/officeDocument/2006/relationships/hyperlink" Id="rId58" Target="http://hydrola.ru/manu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2023-12-13T14:33:21Z</dcterms:created>
  <dcterms:modified xsi:type="dcterms:W3CDTF">2023-12-13T14:33:21Z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gost-r-7-0-100-2018-numeric-alphabetical.csl</vt:lpwstr>
  </property>
  <property fmtid="{D5CDD505-2E9C-101B-9397-08002B2CF9AE}" pid="4" name="output">
    <vt:lpwstr/>
  </property>
</Properties>
</file>