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27" w:rsidRPr="00B14827" w:rsidRDefault="00B14827" w:rsidP="00B14827">
      <w:pPr>
        <w:pStyle w:val="a3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14827">
        <w:rPr>
          <w:rFonts w:ascii="Times New Roman" w:hAnsi="Times New Roman" w:cs="Times New Roman"/>
          <w:b/>
          <w:sz w:val="28"/>
          <w:szCs w:val="28"/>
        </w:rPr>
        <w:t>УДК 677.4.021.16/.022</w:t>
      </w:r>
    </w:p>
    <w:p w:rsidR="00B14827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827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827">
        <w:rPr>
          <w:rFonts w:ascii="Times New Roman" w:hAnsi="Times New Roman" w:cs="Times New Roman"/>
          <w:b/>
          <w:sz w:val="28"/>
          <w:szCs w:val="28"/>
        </w:rPr>
        <w:t>ИССЛЕДОВАНИЯ ПЕРЕРАБОТКИ ЛЕНТЫ ИЗ ВОЛОКНА</w:t>
      </w:r>
    </w:p>
    <w:p w:rsidR="00B14827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827">
        <w:rPr>
          <w:rFonts w:ascii="Times New Roman" w:hAnsi="Times New Roman" w:cs="Times New Roman"/>
          <w:b/>
          <w:sz w:val="28"/>
          <w:szCs w:val="28"/>
        </w:rPr>
        <w:t>АРСЕЛОН НА ЛЕНТОЧНЫХ МАШИНАХ</w:t>
      </w:r>
    </w:p>
    <w:p w:rsidR="00B14827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827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27">
        <w:rPr>
          <w:rFonts w:ascii="Times New Roman" w:hAnsi="Times New Roman" w:cs="Times New Roman"/>
          <w:b/>
          <w:sz w:val="28"/>
          <w:szCs w:val="28"/>
        </w:rPr>
        <w:t>Клыковский И.О.</w:t>
      </w:r>
      <w:r w:rsidRPr="00B148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827">
        <w:rPr>
          <w:rFonts w:ascii="Times New Roman" w:hAnsi="Times New Roman" w:cs="Times New Roman"/>
          <w:sz w:val="28"/>
          <w:szCs w:val="28"/>
        </w:rPr>
        <w:t>асп</w:t>
      </w:r>
      <w:proofErr w:type="spellEnd"/>
      <w:r w:rsidRPr="00B14827">
        <w:rPr>
          <w:rFonts w:ascii="Times New Roman" w:hAnsi="Times New Roman" w:cs="Times New Roman"/>
          <w:sz w:val="28"/>
          <w:szCs w:val="28"/>
        </w:rPr>
        <w:t xml:space="preserve">. </w:t>
      </w:r>
      <w:r w:rsidRPr="00B14827">
        <w:rPr>
          <w:rFonts w:ascii="Times New Roman" w:hAnsi="Times New Roman" w:cs="Times New Roman"/>
          <w:b/>
          <w:sz w:val="28"/>
          <w:szCs w:val="28"/>
        </w:rPr>
        <w:t>Медвецкий С.С.</w:t>
      </w:r>
      <w:r w:rsidRPr="00B14827">
        <w:rPr>
          <w:rFonts w:ascii="Times New Roman" w:hAnsi="Times New Roman" w:cs="Times New Roman"/>
          <w:sz w:val="28"/>
          <w:szCs w:val="28"/>
        </w:rPr>
        <w:t>, к.т.н., доц.</w:t>
      </w:r>
    </w:p>
    <w:p w:rsidR="0079083F" w:rsidRP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27">
        <w:rPr>
          <w:rFonts w:ascii="Times New Roman" w:hAnsi="Times New Roman" w:cs="Times New Roman"/>
          <w:sz w:val="28"/>
          <w:szCs w:val="28"/>
        </w:rPr>
        <w:t>Витебский государственный технологический университет (Беларусь)</w:t>
      </w:r>
    </w:p>
    <w:p w:rsidR="00B14827" w:rsidRDefault="00B14827" w:rsidP="00B1482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В современном мире в странах с повышенными требованиями к безопа</w:t>
      </w:r>
      <w:r w:rsidRPr="00B14827">
        <w:rPr>
          <w:rFonts w:ascii="Times New Roman" w:eastAsia="Calibri" w:hAnsi="Times New Roman" w:cs="Times New Roman"/>
          <w:sz w:val="28"/>
          <w:szCs w:val="28"/>
        </w:rPr>
        <w:t>с</w:t>
      </w:r>
      <w:r w:rsidRPr="00B14827">
        <w:rPr>
          <w:rFonts w:ascii="Times New Roman" w:eastAsia="Calibri" w:hAnsi="Times New Roman" w:cs="Times New Roman"/>
          <w:sz w:val="28"/>
          <w:szCs w:val="28"/>
        </w:rPr>
        <w:t>ности труда большое внимание уделяется средствам защиты рабочего персон</w:t>
      </w:r>
      <w:r w:rsidRPr="00B14827">
        <w:rPr>
          <w:rFonts w:ascii="Times New Roman" w:eastAsia="Calibri" w:hAnsi="Times New Roman" w:cs="Times New Roman"/>
          <w:sz w:val="28"/>
          <w:szCs w:val="28"/>
        </w:rPr>
        <w:t>а</w:t>
      </w:r>
      <w:r w:rsidRPr="00B14827">
        <w:rPr>
          <w:rFonts w:ascii="Times New Roman" w:eastAsia="Calibri" w:hAnsi="Times New Roman" w:cs="Times New Roman"/>
          <w:sz w:val="28"/>
          <w:szCs w:val="28"/>
        </w:rPr>
        <w:t>ла от вредных воздействий. Для людей, подверженных риску возгорания или сильного нагрева, одной из важнейших составляющих личной защиты является верхняя одежда, способная противостоять огню или тепловому потоку, тем с</w:t>
      </w:r>
      <w:r w:rsidRPr="00B14827">
        <w:rPr>
          <w:rFonts w:ascii="Times New Roman" w:eastAsia="Calibri" w:hAnsi="Times New Roman" w:cs="Times New Roman"/>
          <w:sz w:val="28"/>
          <w:szCs w:val="28"/>
        </w:rPr>
        <w:t>а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мым защищая жизнь и здоровье человека. 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Волокно Арселон, выпускаемое на ОАО «Светлогорск-Химволокно», о</w:t>
      </w:r>
      <w:r w:rsidRPr="00B14827">
        <w:rPr>
          <w:rFonts w:ascii="Times New Roman" w:eastAsia="Calibri" w:hAnsi="Times New Roman" w:cs="Times New Roman"/>
          <w:sz w:val="28"/>
          <w:szCs w:val="28"/>
        </w:rPr>
        <w:t>б</w:t>
      </w:r>
      <w:r w:rsidRPr="00B14827">
        <w:rPr>
          <w:rFonts w:ascii="Times New Roman" w:eastAsia="Calibri" w:hAnsi="Times New Roman" w:cs="Times New Roman"/>
          <w:sz w:val="28"/>
          <w:szCs w:val="28"/>
        </w:rPr>
        <w:t>ладает огне- и термостойкими свойствами, позволяющими использовать ткани на его основе для производства одежды пожарных-спасателей и других раб</w:t>
      </w:r>
      <w:r w:rsidRPr="00B14827">
        <w:rPr>
          <w:rFonts w:ascii="Times New Roman" w:eastAsia="Calibri" w:hAnsi="Times New Roman" w:cs="Times New Roman"/>
          <w:sz w:val="28"/>
          <w:szCs w:val="28"/>
        </w:rPr>
        <w:t>о</w:t>
      </w:r>
      <w:r w:rsidRPr="00B14827">
        <w:rPr>
          <w:rFonts w:ascii="Times New Roman" w:eastAsia="Calibri" w:hAnsi="Times New Roman" w:cs="Times New Roman"/>
          <w:sz w:val="28"/>
          <w:szCs w:val="28"/>
        </w:rPr>
        <w:t>чих, деятельность которых связана с открытым пламенем, расплавленным м</w:t>
      </w:r>
      <w:r w:rsidRPr="00B14827">
        <w:rPr>
          <w:rFonts w:ascii="Times New Roman" w:eastAsia="Calibri" w:hAnsi="Times New Roman" w:cs="Times New Roman"/>
          <w:sz w:val="28"/>
          <w:szCs w:val="28"/>
        </w:rPr>
        <w:t>е</w:t>
      </w:r>
      <w:r w:rsidRPr="00B14827">
        <w:rPr>
          <w:rFonts w:ascii="Times New Roman" w:eastAsia="Calibri" w:hAnsi="Times New Roman" w:cs="Times New Roman"/>
          <w:sz w:val="28"/>
          <w:szCs w:val="28"/>
        </w:rPr>
        <w:t>таллом, нагревом и прочими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видами термических воздействий</w:t>
      </w:r>
      <w:r w:rsidRPr="00B1482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Исследование технологии производства пряжи из волокна Арселон пр</w:t>
      </w:r>
      <w:r w:rsidRPr="00B14827">
        <w:rPr>
          <w:rFonts w:ascii="Times New Roman" w:eastAsia="Calibri" w:hAnsi="Times New Roman" w:cs="Times New Roman"/>
          <w:sz w:val="28"/>
          <w:szCs w:val="28"/>
        </w:rPr>
        <w:t>о</w:t>
      </w:r>
      <w:r w:rsidRPr="00B14827">
        <w:rPr>
          <w:rFonts w:ascii="Times New Roman" w:eastAsia="Calibri" w:hAnsi="Times New Roman" w:cs="Times New Roman"/>
          <w:sz w:val="28"/>
          <w:szCs w:val="28"/>
        </w:rPr>
        <w:t>водилось на ОАО «Гронитекс» в городе Гродно. Целью проводимых исслед</w:t>
      </w:r>
      <w:r w:rsidRPr="00B14827">
        <w:rPr>
          <w:rFonts w:ascii="Times New Roman" w:eastAsia="Calibri" w:hAnsi="Times New Roman" w:cs="Times New Roman"/>
          <w:sz w:val="28"/>
          <w:szCs w:val="28"/>
        </w:rPr>
        <w:t>о</w:t>
      </w:r>
      <w:r w:rsidRPr="00B14827">
        <w:rPr>
          <w:rFonts w:ascii="Times New Roman" w:eastAsia="Calibri" w:hAnsi="Times New Roman" w:cs="Times New Roman"/>
          <w:sz w:val="28"/>
          <w:szCs w:val="28"/>
        </w:rPr>
        <w:t>ваний являлось повышение качества пряжи с одновременным снижением ее линейной плотности, что позволит получать более легкие ткани.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Наработка пряжи осуществлялась по кардной системе прядения хлопка на кольцевых прядильных машинах. Одним из проведенных на предприятии и</w:t>
      </w:r>
      <w:r w:rsidRPr="00B14827">
        <w:rPr>
          <w:rFonts w:ascii="Times New Roman" w:eastAsia="Calibri" w:hAnsi="Times New Roman" w:cs="Times New Roman"/>
          <w:sz w:val="28"/>
          <w:szCs w:val="28"/>
        </w:rPr>
        <w:t>с</w:t>
      </w:r>
      <w:r w:rsidRPr="00B14827">
        <w:rPr>
          <w:rFonts w:ascii="Times New Roman" w:eastAsia="Calibri" w:hAnsi="Times New Roman" w:cs="Times New Roman"/>
          <w:sz w:val="28"/>
          <w:szCs w:val="28"/>
        </w:rPr>
        <w:t>следований являлось определение рациональных параметров настройки ле</w:t>
      </w:r>
      <w:r w:rsidRPr="00B14827">
        <w:rPr>
          <w:rFonts w:ascii="Times New Roman" w:eastAsia="Calibri" w:hAnsi="Times New Roman" w:cs="Times New Roman"/>
          <w:sz w:val="28"/>
          <w:szCs w:val="28"/>
        </w:rPr>
        <w:t>н</w:t>
      </w:r>
      <w:r w:rsidRPr="00B14827">
        <w:rPr>
          <w:rFonts w:ascii="Times New Roman" w:eastAsia="Calibri" w:hAnsi="Times New Roman" w:cs="Times New Roman"/>
          <w:sz w:val="28"/>
          <w:szCs w:val="28"/>
        </w:rPr>
        <w:t>точных машин второго перехода.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После переработки волокна Арселон на чесальных и ленточных машинах первого перехода, лента поступает на ленточные машины с авторегулятором вытяжки Rieter RSB-D45, а затем на ровничную машину. Второй переход ле</w:t>
      </w:r>
      <w:r w:rsidRPr="00B14827">
        <w:rPr>
          <w:rFonts w:ascii="Times New Roman" w:eastAsia="Calibri" w:hAnsi="Times New Roman" w:cs="Times New Roman"/>
          <w:sz w:val="28"/>
          <w:szCs w:val="28"/>
        </w:rPr>
        <w:t>н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точных машин является последним этапом переработки, где еще возможно снижение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по линейной плотности.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Неровнота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снижае</w:t>
      </w:r>
      <w:r w:rsidRPr="00B14827">
        <w:rPr>
          <w:rFonts w:ascii="Times New Roman" w:eastAsia="Calibri" w:hAnsi="Times New Roman" w:cs="Times New Roman"/>
          <w:sz w:val="28"/>
          <w:szCs w:val="28"/>
        </w:rPr>
        <w:t>т</w:t>
      </w:r>
      <w:r w:rsidRPr="00B14827">
        <w:rPr>
          <w:rFonts w:ascii="Times New Roman" w:eastAsia="Calibri" w:hAnsi="Times New Roman" w:cs="Times New Roman"/>
          <w:sz w:val="28"/>
          <w:szCs w:val="28"/>
        </w:rPr>
        <w:t>ся в результате процесса сложения, а также за счет автоматического регулир</w:t>
      </w:r>
      <w:r w:rsidRPr="00B14827">
        <w:rPr>
          <w:rFonts w:ascii="Times New Roman" w:eastAsia="Calibri" w:hAnsi="Times New Roman" w:cs="Times New Roman"/>
          <w:sz w:val="28"/>
          <w:szCs w:val="28"/>
        </w:rPr>
        <w:t>о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вания вытяжки.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Неровнота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зависит от целого ряда параметров работы ленто</w:t>
      </w:r>
      <w:r w:rsidRPr="00B14827">
        <w:rPr>
          <w:rFonts w:ascii="Times New Roman" w:eastAsia="Calibri" w:hAnsi="Times New Roman" w:cs="Times New Roman"/>
          <w:sz w:val="28"/>
          <w:szCs w:val="28"/>
        </w:rPr>
        <w:t>ч</w:t>
      </w:r>
      <w:r w:rsidRPr="00B14827">
        <w:rPr>
          <w:rFonts w:ascii="Times New Roman" w:eastAsia="Calibri" w:hAnsi="Times New Roman" w:cs="Times New Roman"/>
          <w:sz w:val="28"/>
          <w:szCs w:val="28"/>
        </w:rPr>
        <w:t>ных машин – величины биения вытяжных цилиндров и валиков, правильно в</w:t>
      </w:r>
      <w:r w:rsidRPr="00B14827">
        <w:rPr>
          <w:rFonts w:ascii="Times New Roman" w:eastAsia="Calibri" w:hAnsi="Times New Roman" w:cs="Times New Roman"/>
          <w:sz w:val="28"/>
          <w:szCs w:val="28"/>
        </w:rPr>
        <w:t>ы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бранной разводки, скорости выпуска, нагрузки на вытяжные пары. </w:t>
      </w:r>
    </w:p>
    <w:p w:rsidR="00543302" w:rsidRDefault="00B14827" w:rsidP="0054330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Средняя длина волокна Арселон составляет 37 мм. Диаграммы распред</w:t>
      </w:r>
      <w:r w:rsidRPr="00B14827">
        <w:rPr>
          <w:rFonts w:ascii="Times New Roman" w:eastAsia="Calibri" w:hAnsi="Times New Roman" w:cs="Times New Roman"/>
          <w:sz w:val="28"/>
          <w:szCs w:val="28"/>
        </w:rPr>
        <w:t>е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ления волокна в чесальной ленте и после второго перехода ленточных машин представлены на рисунке 1. </w:t>
      </w:r>
      <w:r w:rsidR="0054330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14827" w:rsidRPr="00B14827" w:rsidRDefault="00B14827" w:rsidP="00B14827">
      <w:pPr>
        <w:spacing w:after="0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B14827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6F84C068" wp14:editId="52D64AD2">
            <wp:extent cx="3060000" cy="2453088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827">
        <w:rPr>
          <w:rFonts w:ascii="Times New Roman" w:eastAsia="Calibri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20129A4" wp14:editId="01A739C5">
            <wp:extent cx="2952000" cy="2375144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3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27" w:rsidRPr="00B14827" w:rsidRDefault="00B14827" w:rsidP="00B148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Рисунок 1 – Диаграммы распределения волокна Арселон в чесальной ленте </w:t>
      </w:r>
      <w:r w:rsidRPr="00B14827">
        <w:rPr>
          <w:rFonts w:ascii="Times New Roman" w:eastAsia="Calibri" w:hAnsi="Times New Roman" w:cs="Times New Roman"/>
          <w:sz w:val="28"/>
          <w:szCs w:val="28"/>
        </w:rPr>
        <w:br/>
        <w:t>и после второго перехода ленточных машин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После первого и второго перехода ленточных машин волокна распря</w:t>
      </w:r>
      <w:r w:rsidRPr="00B14827">
        <w:rPr>
          <w:rFonts w:ascii="Times New Roman" w:eastAsia="Calibri" w:hAnsi="Times New Roman" w:cs="Times New Roman"/>
          <w:sz w:val="28"/>
          <w:szCs w:val="28"/>
        </w:rPr>
        <w:t>м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ляются, из-за чего среднее значение длины волокна перемещается от 26,08 до 29,5 мм, а индекс равномерности повышается от 88,5 до 91,4%. Показатели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</w:t>
      </w:r>
      <w:r w:rsidRPr="00B14827">
        <w:rPr>
          <w:rFonts w:ascii="Times New Roman" w:eastAsia="Calibri" w:hAnsi="Times New Roman" w:cs="Times New Roman"/>
          <w:sz w:val="28"/>
          <w:szCs w:val="28"/>
        </w:rPr>
        <w:t>е</w:t>
      </w:r>
      <w:r w:rsidRPr="00B14827">
        <w:rPr>
          <w:rFonts w:ascii="Times New Roman" w:eastAsia="Calibri" w:hAnsi="Times New Roman" w:cs="Times New Roman"/>
          <w:sz w:val="28"/>
          <w:szCs w:val="28"/>
        </w:rPr>
        <w:t>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по линейной плотности представлены в таблице 1.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Таблица 1 –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Неровнота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после первого перехода ленточных машин, опр</w:t>
      </w:r>
      <w:r w:rsidRPr="00B14827">
        <w:rPr>
          <w:rFonts w:ascii="Times New Roman" w:eastAsia="Calibri" w:hAnsi="Times New Roman" w:cs="Times New Roman"/>
          <w:sz w:val="28"/>
          <w:szCs w:val="28"/>
        </w:rPr>
        <w:t>е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деленная на приборе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Uster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Tester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4661"/>
        <w:gridCol w:w="2816"/>
      </w:tblGrid>
      <w:tr w:rsidR="00B14827" w:rsidRPr="00B14827" w:rsidTr="0096487C">
        <w:trPr>
          <w:trHeight w:val="397"/>
        </w:trPr>
        <w:tc>
          <w:tcPr>
            <w:tcW w:w="3570" w:type="pct"/>
            <w:gridSpan w:val="2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 w:val="restart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Квадратическая</w:t>
            </w:r>
            <w:proofErr w:type="spellEnd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неровнота</w:t>
            </w:r>
            <w:proofErr w:type="spellEnd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365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коротких отрезках </w:t>
            </w: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Cvm</w:t>
            </w:r>
            <w:proofErr w:type="spellEnd"/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5,42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/>
            <w:vAlign w:val="center"/>
          </w:tcPr>
          <w:p w:rsidR="00B14827" w:rsidRPr="00B14827" w:rsidRDefault="00B14827" w:rsidP="00B14827">
            <w:pPr>
              <w:spacing w:after="0"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 отрезках длиной 1 м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2,45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/>
            <w:vAlign w:val="center"/>
          </w:tcPr>
          <w:p w:rsidR="00B14827" w:rsidRPr="00B14827" w:rsidRDefault="00B14827" w:rsidP="00B14827">
            <w:pPr>
              <w:spacing w:after="0"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 отрезках длиной 3 м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ind w:firstLine="2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1,79</w:t>
            </w:r>
          </w:p>
        </w:tc>
      </w:tr>
    </w:tbl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Характеристики ленты, полученной при параметрах настройки ленточных машин второго перехода, принятых на предприятии, приведены в таблице 2.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Таблица 2 – Характеристики ленты со второго перехода ленточных машин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4659"/>
        <w:gridCol w:w="2818"/>
      </w:tblGrid>
      <w:tr w:rsidR="00B14827" w:rsidRPr="00B14827" w:rsidTr="00543302">
        <w:trPr>
          <w:trHeight w:val="397"/>
        </w:trPr>
        <w:tc>
          <w:tcPr>
            <w:tcW w:w="3570" w:type="pct"/>
            <w:gridSpan w:val="2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 w:val="restart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Квадратическая</w:t>
            </w:r>
            <w:proofErr w:type="spellEnd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неровнота</w:t>
            </w:r>
            <w:proofErr w:type="spellEnd"/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364" w:type="pct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коротких отрезках </w:t>
            </w:r>
            <w:proofErr w:type="spellStart"/>
            <w:r w:rsidRPr="00B1482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Cvm</w:t>
            </w:r>
            <w:proofErr w:type="spellEnd"/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3,17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4" w:type="pct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 отрезках длиной 1 м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1,12</w:t>
            </w:r>
          </w:p>
        </w:tc>
      </w:tr>
      <w:tr w:rsidR="00B14827" w:rsidRPr="00B14827" w:rsidTr="00543302">
        <w:trPr>
          <w:trHeight w:val="340"/>
        </w:trPr>
        <w:tc>
          <w:tcPr>
            <w:tcW w:w="1206" w:type="pct"/>
            <w:vMerge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4" w:type="pct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 отрезках длиной 3 м</w:t>
            </w:r>
          </w:p>
        </w:tc>
        <w:tc>
          <w:tcPr>
            <w:tcW w:w="1430" w:type="pct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0,79</w:t>
            </w:r>
          </w:p>
        </w:tc>
      </w:tr>
    </w:tbl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С целью уменьшения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было принято решение провести экспериментальные исследования по настройке параметров работы ленточной машины RSB-D45. В качестве регулируемых параметров были выбраны инте</w:t>
      </w:r>
      <w:r w:rsidRPr="00B14827">
        <w:rPr>
          <w:rFonts w:ascii="Times New Roman" w:eastAsia="Calibri" w:hAnsi="Times New Roman" w:cs="Times New Roman"/>
          <w:sz w:val="28"/>
          <w:szCs w:val="28"/>
        </w:rPr>
        <w:t>н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сивность авторегулирования вытяжки и скорость выпуска ленточной машины. 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 первом этапе эксперимента было установлено, что для достижения улучшенного эффекта от авторегулирования, необходимо повысить значение параметра авторегулирования на 0,5%. Результатом являлось снижение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</w:t>
      </w:r>
      <w:r w:rsidRPr="00B14827">
        <w:rPr>
          <w:rFonts w:ascii="Times New Roman" w:eastAsia="Calibri" w:hAnsi="Times New Roman" w:cs="Times New Roman"/>
          <w:sz w:val="28"/>
          <w:szCs w:val="28"/>
        </w:rPr>
        <w:t>в</w:t>
      </w:r>
      <w:r w:rsidRPr="00B14827">
        <w:rPr>
          <w:rFonts w:ascii="Times New Roman" w:eastAsia="Calibri" w:hAnsi="Times New Roman" w:cs="Times New Roman"/>
          <w:sz w:val="28"/>
          <w:szCs w:val="28"/>
        </w:rPr>
        <w:t>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ленты, в среднем на 25%. 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Вторым этапом исследовали влияние скорости выпуска ленты на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</w:t>
      </w:r>
      <w:r w:rsidRPr="00B14827">
        <w:rPr>
          <w:rFonts w:ascii="Times New Roman" w:eastAsia="Calibri" w:hAnsi="Times New Roman" w:cs="Times New Roman"/>
          <w:sz w:val="28"/>
          <w:szCs w:val="28"/>
        </w:rPr>
        <w:t>в</w:t>
      </w:r>
      <w:r w:rsidRPr="00B14827">
        <w:rPr>
          <w:rFonts w:ascii="Times New Roman" w:eastAsia="Calibri" w:hAnsi="Times New Roman" w:cs="Times New Roman"/>
          <w:sz w:val="28"/>
          <w:szCs w:val="28"/>
        </w:rPr>
        <w:t>ноту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>. Для определения характера закономерности были выбраны значения ск</w:t>
      </w:r>
      <w:r w:rsidRPr="00B14827">
        <w:rPr>
          <w:rFonts w:ascii="Times New Roman" w:eastAsia="Calibri" w:hAnsi="Times New Roman" w:cs="Times New Roman"/>
          <w:sz w:val="28"/>
          <w:szCs w:val="28"/>
        </w:rPr>
        <w:t>о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рости 575, 625 и 670 м/мин. Полученные образцы проверяли на приборе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  <w:lang w:val="en-US"/>
        </w:rPr>
        <w:t>Uster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4827">
        <w:rPr>
          <w:rFonts w:ascii="Times New Roman" w:eastAsia="Calibri" w:hAnsi="Times New Roman" w:cs="Times New Roman"/>
          <w:sz w:val="28"/>
          <w:szCs w:val="28"/>
          <w:lang w:val="en-US"/>
        </w:rPr>
        <w:t>Tester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4. Данные испытаний приведены в таблице 3.</w:t>
      </w: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Таблица 3 – Значения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при разных скоростях выпуска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418"/>
        <w:gridCol w:w="1417"/>
        <w:gridCol w:w="1270"/>
      </w:tblGrid>
      <w:tr w:rsidR="00B14827" w:rsidRPr="00B14827" w:rsidTr="0096487C">
        <w:trPr>
          <w:trHeight w:val="397"/>
        </w:trPr>
        <w:tc>
          <w:tcPr>
            <w:tcW w:w="5240" w:type="dxa"/>
            <w:vMerge w:val="restart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4105" w:type="dxa"/>
            <w:gridSpan w:val="3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Значение показателя </w:t>
            </w: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при скорости выпуска,</w:t>
            </w: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proofErr w:type="gramEnd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/мин:</w:t>
            </w:r>
          </w:p>
        </w:tc>
      </w:tr>
      <w:tr w:rsidR="00B14827" w:rsidRPr="00B14827" w:rsidTr="0096487C">
        <w:trPr>
          <w:trHeight w:val="340"/>
        </w:trPr>
        <w:tc>
          <w:tcPr>
            <w:tcW w:w="5240" w:type="dxa"/>
            <w:vMerge/>
            <w:shd w:val="clear" w:color="auto" w:fill="auto"/>
          </w:tcPr>
          <w:p w:rsidR="00B14827" w:rsidRPr="00B14827" w:rsidRDefault="00B14827" w:rsidP="00B148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670</w:t>
            </w:r>
          </w:p>
        </w:tc>
      </w:tr>
      <w:tr w:rsidR="00B14827" w:rsidRPr="00B14827" w:rsidTr="0096487C">
        <w:trPr>
          <w:trHeight w:val="340"/>
        </w:trPr>
        <w:tc>
          <w:tcPr>
            <w:tcW w:w="524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Неровнота</w:t>
            </w:r>
            <w:proofErr w:type="spellEnd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коротких отрезках, 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2,61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2,60</w:t>
            </w:r>
          </w:p>
        </w:tc>
      </w:tr>
      <w:tr w:rsidR="00B14827" w:rsidRPr="00B14827" w:rsidTr="0096487C">
        <w:trPr>
          <w:trHeight w:val="340"/>
        </w:trPr>
        <w:tc>
          <w:tcPr>
            <w:tcW w:w="524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Неровнота</w:t>
            </w:r>
            <w:proofErr w:type="spellEnd"/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отрезках длиной 1 метр, 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0,54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B14827" w:rsidRPr="00B14827" w:rsidTr="0096487C">
        <w:trPr>
          <w:trHeight w:val="340"/>
        </w:trPr>
        <w:tc>
          <w:tcPr>
            <w:tcW w:w="524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B1482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Неровнота</w:t>
            </w:r>
            <w:proofErr w:type="spellEnd"/>
            <w:r w:rsidRPr="00B1482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на отрезках длиной 3 метра, 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Calibri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14827" w:rsidRPr="00B14827" w:rsidRDefault="00B14827" w:rsidP="00B148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1482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0,41</w:t>
            </w:r>
          </w:p>
        </w:tc>
      </w:tr>
    </w:tbl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14827" w:rsidRPr="00B14827" w:rsidRDefault="00B14827" w:rsidP="00B1482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По представленным значениям видно, что наименьшими показателями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на метровых и 3-метровых отрезках обладает лента, полученная при скорости выпуска 625 м/мин. Поэтому было решено выбрать это значение в к</w:t>
      </w:r>
      <w:r w:rsidRPr="00B14827">
        <w:rPr>
          <w:rFonts w:ascii="Times New Roman" w:eastAsia="Calibri" w:hAnsi="Times New Roman" w:cs="Times New Roman"/>
          <w:sz w:val="28"/>
          <w:szCs w:val="28"/>
        </w:rPr>
        <w:t>а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честве внедряемого в технологический процесс. </w:t>
      </w:r>
    </w:p>
    <w:p w:rsidR="00B14827" w:rsidRPr="00543302" w:rsidRDefault="00B14827" w:rsidP="0054330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4827">
        <w:rPr>
          <w:rFonts w:ascii="Times New Roman" w:eastAsia="Calibri" w:hAnsi="Times New Roman" w:cs="Times New Roman"/>
          <w:sz w:val="28"/>
          <w:szCs w:val="28"/>
        </w:rPr>
        <w:t>Таким образом, за счет корректировки значения авторегулирования в</w:t>
      </w:r>
      <w:r w:rsidRPr="00B14827">
        <w:rPr>
          <w:rFonts w:ascii="Times New Roman" w:eastAsia="Calibri" w:hAnsi="Times New Roman" w:cs="Times New Roman"/>
          <w:sz w:val="28"/>
          <w:szCs w:val="28"/>
        </w:rPr>
        <w:t>ы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тяжки и изменения скорости выпуска ленты достигнуто снижение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неровноты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по линейной плотности. Например,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неровнота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ленты на коротких отре</w:t>
      </w:r>
      <w:r w:rsidRPr="00B14827">
        <w:rPr>
          <w:rFonts w:ascii="Times New Roman" w:eastAsia="Calibri" w:hAnsi="Times New Roman" w:cs="Times New Roman"/>
          <w:sz w:val="28"/>
          <w:szCs w:val="28"/>
        </w:rPr>
        <w:t>з</w:t>
      </w:r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ках снижена на 18 %. Проведенные мероприятия позволили снизить </w:t>
      </w:r>
      <w:proofErr w:type="spellStart"/>
      <w:r w:rsidRPr="00B14827">
        <w:rPr>
          <w:rFonts w:ascii="Times New Roman" w:eastAsia="Calibri" w:hAnsi="Times New Roman" w:cs="Times New Roman"/>
          <w:sz w:val="28"/>
          <w:szCs w:val="28"/>
        </w:rPr>
        <w:t>неровноту</w:t>
      </w:r>
      <w:proofErr w:type="spellEnd"/>
      <w:r w:rsidRPr="00B14827">
        <w:rPr>
          <w:rFonts w:ascii="Times New Roman" w:eastAsia="Calibri" w:hAnsi="Times New Roman" w:cs="Times New Roman"/>
          <w:sz w:val="28"/>
          <w:szCs w:val="28"/>
        </w:rPr>
        <w:t xml:space="preserve"> выпускаемой пряжи из волокна Арселон и повысить стабильность технолог</w:t>
      </w:r>
      <w:r w:rsidRPr="00B14827">
        <w:rPr>
          <w:rFonts w:ascii="Times New Roman" w:eastAsia="Calibri" w:hAnsi="Times New Roman" w:cs="Times New Roman"/>
          <w:sz w:val="28"/>
          <w:szCs w:val="28"/>
        </w:rPr>
        <w:t>и</w:t>
      </w:r>
      <w:r w:rsidRPr="00B14827">
        <w:rPr>
          <w:rFonts w:ascii="Times New Roman" w:eastAsia="Calibri" w:hAnsi="Times New Roman" w:cs="Times New Roman"/>
          <w:sz w:val="28"/>
          <w:szCs w:val="28"/>
        </w:rPr>
        <w:t>ческого процесса.</w:t>
      </w:r>
      <w:bookmarkStart w:id="0" w:name="_GoBack"/>
      <w:bookmarkEnd w:id="0"/>
    </w:p>
    <w:sectPr w:rsidR="00B14827" w:rsidRPr="00543302" w:rsidSect="00B148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27"/>
    <w:rsid w:val="002C0F11"/>
    <w:rsid w:val="00543302"/>
    <w:rsid w:val="0079083F"/>
    <w:rsid w:val="00B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482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1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482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1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</cp:lastModifiedBy>
  <cp:revision>2</cp:revision>
  <dcterms:created xsi:type="dcterms:W3CDTF">2019-09-10T07:28:00Z</dcterms:created>
  <dcterms:modified xsi:type="dcterms:W3CDTF">2019-09-10T07:28:00Z</dcterms:modified>
</cp:coreProperties>
</file>