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C3B" w14:textId="12527157" w:rsidR="008F038B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color w:val="000001"/>
          <w:lang w:val="es-MX"/>
        </w:rPr>
      </w:pPr>
      <w:r w:rsidRPr="008F038B">
        <w:rPr>
          <w:rFonts w:asciiTheme="minorHAnsi" w:eastAsia="Times New Roman" w:hAnsiTheme="minorHAnsi" w:cstheme="minorHAnsi"/>
          <w:color w:val="000001"/>
          <w:lang w:val="es-MX"/>
        </w:rPr>
        <w:t>AP08-AA9-EV03. DETERMINAR CUMPLIMIENTO DE CALIDAD</w:t>
      </w:r>
    </w:p>
    <w:p w14:paraId="7FD2C761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4F4B27BA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  <w:r w:rsidRPr="00814998">
        <w:rPr>
          <w:rFonts w:asciiTheme="minorHAnsi" w:eastAsia="Times New Roman" w:hAnsiTheme="minorHAnsi" w:cstheme="minorHAnsi"/>
          <w:color w:val="000000"/>
          <w:lang w:val="es-MX"/>
        </w:rPr>
        <w:t>APRENDIZ:</w:t>
      </w:r>
    </w:p>
    <w:p w14:paraId="113FF1AD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color w:val="000000"/>
          <w:lang w:val="es-MX"/>
        </w:rPr>
      </w:pPr>
      <w:r w:rsidRPr="00814998">
        <w:rPr>
          <w:rFonts w:asciiTheme="minorHAnsi" w:eastAsia="Times New Roman" w:hAnsiTheme="minorHAnsi" w:cstheme="minorHAnsi"/>
          <w:color w:val="000000"/>
          <w:lang w:val="es-MX"/>
        </w:rPr>
        <w:t>ILIAN ALEJANDRA MELO CARDOZO</w:t>
      </w:r>
    </w:p>
    <w:p w14:paraId="5D272AED" w14:textId="77777777" w:rsidR="008F038B" w:rsidRPr="00814998" w:rsidRDefault="008F038B" w:rsidP="008F038B">
      <w:pPr>
        <w:spacing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42A69EF6" w14:textId="5437DDF5" w:rsidR="008F038B" w:rsidRDefault="008F038B" w:rsidP="008F038B">
      <w:pPr>
        <w:spacing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7E4AD472" w14:textId="77777777" w:rsidR="008F038B" w:rsidRPr="00814998" w:rsidRDefault="008F038B" w:rsidP="008F038B">
      <w:pPr>
        <w:spacing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0D2D2D8B" w14:textId="77777777" w:rsidR="008F038B" w:rsidRPr="00814998" w:rsidRDefault="008F038B" w:rsidP="008F038B">
      <w:pPr>
        <w:spacing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1938EFBC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  <w:r w:rsidRPr="00814998">
        <w:rPr>
          <w:rFonts w:asciiTheme="minorHAnsi" w:eastAsia="Times New Roman" w:hAnsiTheme="minorHAnsi" w:cstheme="minorHAnsi"/>
          <w:lang w:val="es-MX"/>
        </w:rPr>
        <w:t>INSTRUCTOR:</w:t>
      </w:r>
    </w:p>
    <w:p w14:paraId="3851C8A7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  <w:r w:rsidRPr="00814998">
        <w:rPr>
          <w:rFonts w:asciiTheme="minorHAnsi" w:eastAsia="Times New Roman" w:hAnsiTheme="minorHAnsi" w:cstheme="minorHAnsi"/>
          <w:lang w:val="es-MX"/>
        </w:rPr>
        <w:t>JESÚS ARIEL GONZÁLEZ BONILLA</w:t>
      </w:r>
    </w:p>
    <w:p w14:paraId="348B81D7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6700E068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27ADE4AD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552A9418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  <w:r w:rsidRPr="00814998">
        <w:rPr>
          <w:rFonts w:asciiTheme="minorHAnsi" w:eastAsia="Times New Roman" w:hAnsiTheme="minorHAnsi" w:cstheme="minorHAnsi"/>
          <w:color w:val="000000"/>
          <w:lang w:val="es-MX"/>
        </w:rPr>
        <w:t>TECNÓLOGO EN ANÁLISIS Y DESARROLLO DE SISTEMAS DE INFORMACIÓN</w:t>
      </w:r>
    </w:p>
    <w:p w14:paraId="5D802EFD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19978AB0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65B02F31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330F5FEA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6FDF6A2C" w14:textId="77777777" w:rsidR="008F038B" w:rsidRPr="00814998" w:rsidRDefault="008F038B" w:rsidP="008F038B">
      <w:pPr>
        <w:spacing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68F915D7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  <w:r w:rsidRPr="00814998">
        <w:rPr>
          <w:rFonts w:asciiTheme="minorHAnsi" w:eastAsia="Times New Roman" w:hAnsiTheme="minorHAnsi" w:cstheme="minorHAnsi"/>
          <w:color w:val="000000"/>
          <w:lang w:val="es-MX"/>
        </w:rPr>
        <w:t>SERVICIO NACIONAL DE APRENDIZAJE SENA</w:t>
      </w:r>
    </w:p>
    <w:p w14:paraId="36C7BCB0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  <w:r w:rsidRPr="00814998">
        <w:rPr>
          <w:rFonts w:asciiTheme="minorHAnsi" w:eastAsia="Times New Roman" w:hAnsiTheme="minorHAnsi" w:cstheme="minorHAnsi"/>
          <w:color w:val="000000"/>
          <w:lang w:val="es-MX"/>
        </w:rPr>
        <w:t>CENTRO DE LA INDUSTRIA, LA EMPRESA Y LOS SERVICIOS</w:t>
      </w:r>
    </w:p>
    <w:p w14:paraId="279E6EC6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040C7CAC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6E1784AF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174A223E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121050F6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3FC6C327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lang w:val="es-MX"/>
        </w:rPr>
      </w:pPr>
    </w:p>
    <w:p w14:paraId="4739808A" w14:textId="77777777" w:rsidR="008F038B" w:rsidRPr="00814998" w:rsidRDefault="008F038B" w:rsidP="008F038B">
      <w:pPr>
        <w:spacing w:before="240" w:after="0" w:line="240" w:lineRule="auto"/>
        <w:jc w:val="center"/>
        <w:rPr>
          <w:rFonts w:asciiTheme="minorHAnsi" w:eastAsia="Times New Roman" w:hAnsiTheme="minorHAnsi" w:cstheme="minorHAnsi"/>
          <w:color w:val="000000"/>
          <w:lang w:val="es-MX"/>
        </w:rPr>
      </w:pPr>
      <w:r w:rsidRPr="00814998">
        <w:rPr>
          <w:rFonts w:asciiTheme="minorHAnsi" w:eastAsia="Times New Roman" w:hAnsiTheme="minorHAnsi" w:cstheme="minorHAnsi"/>
          <w:color w:val="000000"/>
          <w:lang w:val="es-MX"/>
        </w:rPr>
        <w:t>2022</w:t>
      </w:r>
    </w:p>
    <w:p w14:paraId="25907AE1" w14:textId="26FFBE27" w:rsidR="00E11EEF" w:rsidRDefault="00E11EEF"/>
    <w:p w14:paraId="12816389" w14:textId="77777777" w:rsidR="00655E40" w:rsidRPr="00655E40" w:rsidRDefault="00655E40" w:rsidP="00655E40">
      <w:pPr>
        <w:rPr>
          <w:rFonts w:asciiTheme="minorHAnsi" w:hAnsiTheme="minorHAnsi" w:cstheme="minorHAnsi"/>
          <w:b/>
          <w:bCs/>
          <w:lang w:val="es-MX"/>
        </w:rPr>
      </w:pPr>
      <w:r w:rsidRPr="00655E40">
        <w:rPr>
          <w:rFonts w:asciiTheme="minorHAnsi" w:hAnsiTheme="minorHAnsi" w:cstheme="minorHAnsi"/>
          <w:b/>
          <w:bCs/>
          <w:lang w:val="es-MX"/>
        </w:rPr>
        <w:lastRenderedPageBreak/>
        <w:t>índice:</w:t>
      </w:r>
    </w:p>
    <w:p w14:paraId="08D43300" w14:textId="41A96383" w:rsidR="00655E40" w:rsidRDefault="00655E40" w:rsidP="00655E40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eastAsia="Arial" w:hAnsiTheme="minorHAnsi" w:cstheme="minorHAnsi"/>
          <w:lang w:val="es-MX"/>
        </w:rPr>
      </w:pPr>
      <w:r w:rsidRPr="00814998">
        <w:rPr>
          <w:rFonts w:asciiTheme="minorHAnsi" w:eastAsia="Arial" w:hAnsiTheme="minorHAnsi" w:cstheme="minorHAnsi"/>
          <w:lang w:val="es-MX"/>
        </w:rPr>
        <w:t>Introducción.</w:t>
      </w:r>
    </w:p>
    <w:p w14:paraId="1A5B6B17" w14:textId="4005415A" w:rsidR="00655E40" w:rsidRDefault="00655E40" w:rsidP="00655E40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eastAsia="Arial" w:hAnsiTheme="minorHAnsi" w:cstheme="minorHAnsi"/>
          <w:lang w:val="es-MX"/>
        </w:rPr>
      </w:pPr>
      <w:r>
        <w:rPr>
          <w:rFonts w:asciiTheme="minorHAnsi" w:eastAsia="Arial" w:hAnsiTheme="minorHAnsi" w:cstheme="minorHAnsi"/>
          <w:lang w:val="es-MX"/>
        </w:rPr>
        <w:t>Visión de las tablas según el resultado del análisis realizado.</w:t>
      </w:r>
    </w:p>
    <w:p w14:paraId="5C4D9F55" w14:textId="392B2AB7" w:rsidR="00655E40" w:rsidRDefault="00655E40" w:rsidP="00655E40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eastAsia="Arial" w:hAnsiTheme="minorHAnsi" w:cstheme="minorHAnsi"/>
          <w:lang w:val="es-MX"/>
        </w:rPr>
      </w:pPr>
      <w:r>
        <w:rPr>
          <w:rFonts w:asciiTheme="minorHAnsi" w:eastAsia="Arial" w:hAnsiTheme="minorHAnsi" w:cstheme="minorHAnsi"/>
          <w:lang w:val="es-MX"/>
        </w:rPr>
        <w:t>Descripción de las métricas usadas y proceso.</w:t>
      </w:r>
    </w:p>
    <w:p w14:paraId="255AC41A" w14:textId="4874435C" w:rsidR="00655E40" w:rsidRDefault="00655E40" w:rsidP="00655E40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eastAsia="Arial" w:hAnsiTheme="minorHAnsi" w:cstheme="minorHAnsi"/>
          <w:lang w:val="es-MX"/>
        </w:rPr>
      </w:pPr>
      <w:r>
        <w:rPr>
          <w:rFonts w:asciiTheme="minorHAnsi" w:eastAsia="Arial" w:hAnsiTheme="minorHAnsi" w:cstheme="minorHAnsi"/>
          <w:lang w:val="es-MX"/>
        </w:rPr>
        <w:t>Conclusión</w:t>
      </w:r>
    </w:p>
    <w:p w14:paraId="1A6B9ADA" w14:textId="22BBB8F7" w:rsidR="00655E40" w:rsidRDefault="00655E40" w:rsidP="00655E40">
      <w:pPr>
        <w:widowControl w:val="0"/>
        <w:spacing w:after="0" w:line="240" w:lineRule="auto"/>
        <w:contextualSpacing/>
        <w:jc w:val="both"/>
        <w:rPr>
          <w:rFonts w:asciiTheme="minorHAnsi" w:eastAsia="Arial" w:hAnsiTheme="minorHAnsi" w:cstheme="minorHAnsi"/>
          <w:lang w:val="es-MX"/>
        </w:rPr>
      </w:pPr>
    </w:p>
    <w:p w14:paraId="16B3908F" w14:textId="77777777" w:rsidR="00113E76" w:rsidRDefault="00113E76" w:rsidP="00655E40">
      <w:pPr>
        <w:widowControl w:val="0"/>
        <w:spacing w:after="0" w:line="240" w:lineRule="auto"/>
        <w:contextualSpacing/>
        <w:jc w:val="both"/>
        <w:rPr>
          <w:rFonts w:asciiTheme="minorHAnsi" w:eastAsia="Arial" w:hAnsiTheme="minorHAnsi" w:cstheme="minorHAnsi"/>
          <w:lang w:val="es-MX"/>
        </w:rPr>
      </w:pPr>
    </w:p>
    <w:p w14:paraId="4DBD9165" w14:textId="2D010FCF" w:rsidR="00655E40" w:rsidRPr="00814998" w:rsidRDefault="00655E40" w:rsidP="00655E40">
      <w:pPr>
        <w:widowControl w:val="0"/>
        <w:spacing w:after="0" w:line="240" w:lineRule="auto"/>
        <w:contextualSpacing/>
        <w:jc w:val="both"/>
        <w:rPr>
          <w:rFonts w:asciiTheme="minorHAnsi" w:eastAsia="Arial" w:hAnsiTheme="minorHAnsi" w:cstheme="minorHAnsi"/>
          <w:lang w:val="es-MX"/>
        </w:rPr>
      </w:pPr>
    </w:p>
    <w:p w14:paraId="55DD9692" w14:textId="2BF368A4" w:rsidR="00655E40" w:rsidRDefault="00655E40" w:rsidP="00655E40">
      <w:pPr>
        <w:widowControl w:val="0"/>
        <w:spacing w:after="0" w:line="240" w:lineRule="auto"/>
        <w:contextualSpacing/>
        <w:jc w:val="both"/>
        <w:rPr>
          <w:rFonts w:asciiTheme="minorHAnsi" w:eastAsia="Arial" w:hAnsiTheme="minorHAnsi" w:cstheme="minorHAnsi"/>
          <w:b/>
          <w:bCs/>
          <w:lang w:val="es-MX"/>
        </w:rPr>
      </w:pPr>
      <w:r w:rsidRPr="00655E40">
        <w:rPr>
          <w:rFonts w:asciiTheme="minorHAnsi" w:eastAsia="Arial" w:hAnsiTheme="minorHAnsi" w:cstheme="minorHAnsi"/>
          <w:b/>
          <w:bCs/>
          <w:lang w:val="es-MX"/>
        </w:rPr>
        <w:t>Introducción</w:t>
      </w:r>
    </w:p>
    <w:p w14:paraId="360645EF" w14:textId="77777777" w:rsidR="00836593" w:rsidRDefault="00836593" w:rsidP="00655E40">
      <w:pPr>
        <w:widowControl w:val="0"/>
        <w:spacing w:before="1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88FC6C6" w14:textId="5C089085" w:rsidR="00836593" w:rsidRPr="00A15A2A" w:rsidRDefault="00836593" w:rsidP="00836593">
      <w:pPr>
        <w:pStyle w:val="ListParagraph"/>
        <w:widowControl w:val="0"/>
        <w:numPr>
          <w:ilvl w:val="0"/>
          <w:numId w:val="2"/>
        </w:numPr>
        <w:spacing w:before="1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836593">
        <w:rPr>
          <w:rFonts w:asciiTheme="minorHAnsi" w:eastAsia="Arial" w:hAnsiTheme="minorHAnsi" w:cstheme="minorHAnsi"/>
          <w:lang w:val="es-MX"/>
        </w:rPr>
        <w:t xml:space="preserve">El presente documento realizado según los objetos de aprendizaje “Modelos de Calidad en el Desarrollo de Software” y “Guía para Elaborar Instrumentos de Evaluación de la Calidad del </w:t>
      </w:r>
      <w:r w:rsidRPr="00836593">
        <w:rPr>
          <w:rFonts w:asciiTheme="minorHAnsi" w:eastAsia="Arial" w:hAnsiTheme="minorHAnsi" w:cstheme="minorHAnsi"/>
          <w:lang w:val="es-MX"/>
        </w:rPr>
        <w:t>Software” es</w:t>
      </w:r>
      <w:r w:rsidRPr="00836593">
        <w:rPr>
          <w:rFonts w:asciiTheme="minorHAnsi" w:eastAsia="Arial" w:hAnsiTheme="minorHAnsi" w:cstheme="minorHAnsi"/>
          <w:lang w:val="es-MX"/>
        </w:rPr>
        <w:t xml:space="preserve"> acerca d</w:t>
      </w:r>
      <w:r w:rsidRPr="00836593">
        <w:rPr>
          <w:rFonts w:ascii="Arial" w:eastAsia="Arial" w:hAnsi="Arial" w:cs="Arial"/>
          <w:color w:val="000000"/>
          <w:sz w:val="20"/>
          <w:szCs w:val="20"/>
        </w:rPr>
        <w:t>el informe de cumplimiento de las buenas prácticas de calidad del sistema de información desarrollado</w:t>
      </w:r>
      <w:r>
        <w:rPr>
          <w:rFonts w:ascii="Arial" w:eastAsia="Arial" w:hAnsi="Arial" w:cs="Arial"/>
          <w:color w:val="000000"/>
          <w:sz w:val="20"/>
          <w:szCs w:val="20"/>
        </w:rPr>
        <w:t>, Según indica el índice mostrado con anterioridad, en este documento podemos observar todo acerca del cumplimento de la calidad del software trabajado</w:t>
      </w:r>
      <w:r w:rsidR="00113E76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siguiendo el formato para el desarrollo de la evidencia</w:t>
      </w:r>
      <w:r w:rsidR="00113E76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elaborando el informe según las siguientes métricas de calidad: Funcionalidad, confiabilidad y facilidad de uso.</w:t>
      </w:r>
    </w:p>
    <w:p w14:paraId="119FEA97" w14:textId="4878A15C" w:rsidR="00655E40" w:rsidRPr="00113E76" w:rsidRDefault="00655E40" w:rsidP="00836593">
      <w:pPr>
        <w:widowControl w:val="0"/>
        <w:spacing w:after="0" w:line="240" w:lineRule="auto"/>
        <w:ind w:left="720"/>
        <w:jc w:val="both"/>
        <w:rPr>
          <w:rFonts w:asciiTheme="minorHAnsi" w:eastAsia="Arial" w:hAnsiTheme="minorHAnsi" w:cstheme="minorHAnsi"/>
          <w:b/>
          <w:bCs/>
        </w:rPr>
      </w:pPr>
    </w:p>
    <w:p w14:paraId="3C2EB310" w14:textId="3402339F" w:rsidR="008F038B" w:rsidRDefault="00836593">
      <w:pPr>
        <w:rPr>
          <w:b/>
          <w:bCs/>
          <w:lang w:val="es-MX"/>
        </w:rPr>
      </w:pPr>
      <w:r w:rsidRPr="00836593">
        <w:rPr>
          <w:b/>
          <w:bCs/>
          <w:lang w:val="es-MX"/>
        </w:rPr>
        <w:t>Visión de las tablas según el resultado del análisis realizado</w:t>
      </w:r>
    </w:p>
    <w:p w14:paraId="53831EA5" w14:textId="1BFABB25" w:rsidR="00836593" w:rsidRDefault="00A15A2A">
      <w:pPr>
        <w:rPr>
          <w:b/>
          <w:bCs/>
          <w:lang w:val="es-MX"/>
        </w:rPr>
      </w:pPr>
      <w:r w:rsidRPr="00A15A2A">
        <w:drawing>
          <wp:inline distT="0" distB="0" distL="0" distR="0" wp14:anchorId="1A9494F4" wp14:editId="3E1E218C">
            <wp:extent cx="5943600" cy="4101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59D3" w14:textId="4D5F4B1F" w:rsidR="00836593" w:rsidRPr="00836593" w:rsidRDefault="00836593">
      <w:pPr>
        <w:rPr>
          <w:b/>
          <w:bCs/>
          <w:lang w:val="es-MX"/>
        </w:rPr>
      </w:pPr>
    </w:p>
    <w:p w14:paraId="200B24E6" w14:textId="499E8BE9" w:rsidR="00A15A2A" w:rsidRDefault="00A15A2A">
      <w:pPr>
        <w:rPr>
          <w:b/>
          <w:bCs/>
        </w:rPr>
      </w:pPr>
      <w:r w:rsidRPr="00A15A2A">
        <w:lastRenderedPageBreak/>
        <w:drawing>
          <wp:inline distT="0" distB="0" distL="0" distR="0" wp14:anchorId="18732E50" wp14:editId="17B2A58C">
            <wp:extent cx="5943600" cy="516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477C" w14:textId="24F9D91E" w:rsidR="008F038B" w:rsidRDefault="00836593">
      <w:pPr>
        <w:rPr>
          <w:b/>
          <w:bCs/>
        </w:rPr>
      </w:pPr>
      <w:r w:rsidRPr="00836593">
        <w:rPr>
          <w:b/>
          <w:bCs/>
        </w:rPr>
        <w:t>Descripción de las métricas usadas y proceso</w:t>
      </w:r>
    </w:p>
    <w:p w14:paraId="01B61D30" w14:textId="3AC31760" w:rsidR="00836593" w:rsidRPr="00165C62" w:rsidRDefault="00A15A2A" w:rsidP="00E231D3">
      <w:pPr>
        <w:widowControl w:val="0"/>
        <w:spacing w:before="1" w:line="240" w:lineRule="auto"/>
        <w:jc w:val="both"/>
      </w:pPr>
      <w:r>
        <w:t>Para la elaboración de la anterior tabla se hizo uso del</w:t>
      </w:r>
      <w:r w:rsidR="00165C62">
        <w:t xml:space="preserve"> material de formación </w:t>
      </w:r>
      <w:r w:rsidR="00165C62" w:rsidRPr="00E231D3">
        <w:rPr>
          <w:rFonts w:asciiTheme="minorHAnsi" w:eastAsia="Arial" w:hAnsiTheme="minorHAnsi" w:cstheme="minorHAnsi"/>
          <w:lang w:val="es-MX"/>
        </w:rPr>
        <w:t>“Guía para Elaborar Instrumentos de Evaluación de la Calidad del Software”</w:t>
      </w:r>
      <w:r w:rsidR="00165C62" w:rsidRPr="00E231D3">
        <w:rPr>
          <w:rFonts w:asciiTheme="minorHAnsi" w:eastAsia="Arial" w:hAnsiTheme="minorHAnsi" w:cstheme="minorHAnsi"/>
          <w:lang w:val="es-MX"/>
        </w:rPr>
        <w:t xml:space="preserve"> la tabla anterior es la aplicación, es decir el resultado de las siguientes métricas de calidad: </w:t>
      </w:r>
    </w:p>
    <w:p w14:paraId="6964A007" w14:textId="1A33F954" w:rsidR="00165C62" w:rsidRDefault="00E231D3" w:rsidP="00E231D3">
      <w:pPr>
        <w:pStyle w:val="ListParagraph"/>
        <w:widowControl w:val="0"/>
        <w:numPr>
          <w:ilvl w:val="0"/>
          <w:numId w:val="2"/>
        </w:numPr>
        <w:spacing w:before="1" w:line="240" w:lineRule="auto"/>
        <w:jc w:val="both"/>
      </w:pPr>
      <w:r>
        <w:t>Métrica de Funcionalidad: usada para predecir si el producto de software analizado cumplirá con los requerimientos y las necesidades del cliente.</w:t>
      </w:r>
      <w:r>
        <w:t xml:space="preserve"> </w:t>
      </w:r>
      <w:r w:rsidRPr="00E231D3">
        <w:t>Para medir la funcionalidad del software se utilizó la norma ISO 9126-3</w:t>
      </w:r>
    </w:p>
    <w:p w14:paraId="56F0D578" w14:textId="6A1928AD" w:rsidR="00E231D3" w:rsidRDefault="00E231D3" w:rsidP="00E231D3">
      <w:pPr>
        <w:pStyle w:val="ListParagraph"/>
        <w:widowControl w:val="0"/>
        <w:numPr>
          <w:ilvl w:val="0"/>
          <w:numId w:val="2"/>
        </w:numPr>
        <w:spacing w:before="1" w:line="240" w:lineRule="auto"/>
        <w:jc w:val="both"/>
      </w:pPr>
      <w:r>
        <w:t>Métrica de Confiabilidad</w:t>
      </w:r>
      <w:r>
        <w:t xml:space="preserve">: </w:t>
      </w:r>
      <w:r>
        <w:t>usada para predecir si el software en revisión cumplirá con las necesidades de confiabilidad solicitadas.</w:t>
      </w:r>
      <w:r>
        <w:t xml:space="preserve"> </w:t>
      </w:r>
      <w:r w:rsidRPr="00E231D3">
        <w:t>Para medir la confiabilidad de</w:t>
      </w:r>
      <w:r>
        <w:t>l</w:t>
      </w:r>
      <w:r w:rsidRPr="00E231D3">
        <w:t xml:space="preserve"> software</w:t>
      </w:r>
      <w:r>
        <w:t xml:space="preserve"> se utilizó</w:t>
      </w:r>
      <w:r w:rsidRPr="00E231D3">
        <w:t xml:space="preserve"> la norma ISO 9126-3</w:t>
      </w:r>
    </w:p>
    <w:p w14:paraId="47003419" w14:textId="5CA28AD2" w:rsidR="00E231D3" w:rsidRDefault="00E231D3" w:rsidP="00E231D3">
      <w:pPr>
        <w:pStyle w:val="ListParagraph"/>
        <w:widowControl w:val="0"/>
        <w:numPr>
          <w:ilvl w:val="0"/>
          <w:numId w:val="2"/>
        </w:numPr>
        <w:spacing w:before="1" w:line="240" w:lineRule="auto"/>
        <w:jc w:val="both"/>
      </w:pPr>
      <w:r>
        <w:t>Métrica de facilidad de uso (usability)</w:t>
      </w:r>
      <w:r>
        <w:t>:</w:t>
      </w:r>
      <w:r>
        <w:t xml:space="preserve"> usada para predecir si el software en revisión puede ser entendido, aprendido, operado y además es agradable al usuario. También predice si el software cumple con regulaciones acerca de facilidad de uso. </w:t>
      </w:r>
      <w:r w:rsidRPr="00E231D3">
        <w:t xml:space="preserve">Para medir la </w:t>
      </w:r>
      <w:r>
        <w:t>facilidad de uso de un software se utilizó</w:t>
      </w:r>
      <w:r w:rsidRPr="00E231D3">
        <w:t xml:space="preserve"> la norma ISO 9126-3</w:t>
      </w:r>
    </w:p>
    <w:p w14:paraId="62B47028" w14:textId="77777777" w:rsidR="00113E76" w:rsidRDefault="00113E76" w:rsidP="00113E76">
      <w:pPr>
        <w:pStyle w:val="ListParagraph"/>
        <w:widowControl w:val="0"/>
        <w:spacing w:before="1" w:line="240" w:lineRule="auto"/>
        <w:ind w:left="1080"/>
        <w:jc w:val="both"/>
      </w:pPr>
    </w:p>
    <w:p w14:paraId="173CCCC4" w14:textId="69BF10B9" w:rsidR="00EC61FE" w:rsidRDefault="00E231D3" w:rsidP="00E231D3">
      <w:pPr>
        <w:widowControl w:val="0"/>
        <w:spacing w:before="1" w:line="240" w:lineRule="auto"/>
        <w:jc w:val="both"/>
        <w:rPr>
          <w:b/>
          <w:bCs/>
        </w:rPr>
      </w:pPr>
      <w:r>
        <w:rPr>
          <w:b/>
          <w:bCs/>
        </w:rPr>
        <w:lastRenderedPageBreak/>
        <w:t>Conclusión</w:t>
      </w:r>
    </w:p>
    <w:p w14:paraId="6678164F" w14:textId="57347AEC" w:rsidR="00E231D3" w:rsidRDefault="00EC61FE" w:rsidP="00E231D3">
      <w:pPr>
        <w:widowControl w:val="0"/>
        <w:spacing w:before="1" w:line="240" w:lineRule="auto"/>
        <w:jc w:val="both"/>
      </w:pPr>
      <w:r>
        <w:t>A modo de cierre según los resultados obtenemos que p</w:t>
      </w:r>
      <w:r>
        <w:t xml:space="preserve">ara el ejercicio se aplicaron </w:t>
      </w:r>
      <w:r>
        <w:t>3</w:t>
      </w:r>
      <w:r>
        <w:t xml:space="preserve"> métricas de calidad para evaluar </w:t>
      </w:r>
      <w:r>
        <w:t>27</w:t>
      </w:r>
      <w:r>
        <w:t xml:space="preserve"> subcaracterísticas. De las </w:t>
      </w:r>
      <w:r w:rsidR="00113E76">
        <w:t>3</w:t>
      </w:r>
      <w:r>
        <w:t xml:space="preserve"> métricas aplicadas </w:t>
      </w:r>
      <w:r w:rsidR="00113E76">
        <w:t xml:space="preserve">27 cumplen </w:t>
      </w:r>
      <w:r>
        <w:t>con los niveles de calidad esperados por el cliente</w:t>
      </w:r>
      <w:r w:rsidR="00113E76">
        <w:t>.</w:t>
      </w:r>
    </w:p>
    <w:p w14:paraId="135C8C46" w14:textId="6A06D239" w:rsidR="00113E76" w:rsidRDefault="00113E76" w:rsidP="00E231D3">
      <w:pPr>
        <w:widowControl w:val="0"/>
        <w:spacing w:before="1" w:line="240" w:lineRule="auto"/>
        <w:jc w:val="both"/>
      </w:pPr>
      <w:r>
        <w:t>Es decir</w:t>
      </w:r>
      <w:r>
        <w:t>,</w:t>
      </w:r>
      <w:r>
        <w:t xml:space="preserve"> la funcionalidad, </w:t>
      </w:r>
      <w:r>
        <w:t>confiabilidad y facilidad</w:t>
      </w:r>
      <w:r>
        <w:t xml:space="preserve"> de uso del sistema </w:t>
      </w:r>
      <w:r>
        <w:t>son las</w:t>
      </w:r>
      <w:r>
        <w:t xml:space="preserve"> esperad</w:t>
      </w:r>
      <w:r>
        <w:t>as</w:t>
      </w:r>
      <w:r>
        <w:t xml:space="preserve"> por el cliente.</w:t>
      </w:r>
    </w:p>
    <w:p w14:paraId="7707E004" w14:textId="0429FD8E" w:rsidR="00EC61FE" w:rsidRDefault="00EC61FE" w:rsidP="00E231D3">
      <w:pPr>
        <w:widowControl w:val="0"/>
        <w:spacing w:before="1" w:line="240" w:lineRule="auto"/>
        <w:jc w:val="both"/>
      </w:pPr>
    </w:p>
    <w:p w14:paraId="59F0ED0D" w14:textId="0AC2FBF8" w:rsidR="00EC61FE" w:rsidRDefault="00EC61FE" w:rsidP="00E231D3">
      <w:pPr>
        <w:widowControl w:val="0"/>
        <w:spacing w:before="1" w:line="240" w:lineRule="auto"/>
        <w:jc w:val="both"/>
      </w:pPr>
    </w:p>
    <w:p w14:paraId="75491050" w14:textId="0F03C83F" w:rsidR="00EC61FE" w:rsidRDefault="00EC61FE" w:rsidP="00E231D3">
      <w:pPr>
        <w:widowControl w:val="0"/>
        <w:spacing w:before="1" w:line="240" w:lineRule="auto"/>
        <w:jc w:val="both"/>
      </w:pPr>
    </w:p>
    <w:p w14:paraId="1F25E40B" w14:textId="0BAA3498" w:rsidR="00EC61FE" w:rsidRDefault="00EC61FE" w:rsidP="00E231D3">
      <w:pPr>
        <w:widowControl w:val="0"/>
        <w:spacing w:before="1" w:line="240" w:lineRule="auto"/>
        <w:jc w:val="both"/>
      </w:pPr>
    </w:p>
    <w:p w14:paraId="1BB06058" w14:textId="586CE17D" w:rsidR="00EC61FE" w:rsidRDefault="00EC61FE" w:rsidP="00E231D3">
      <w:pPr>
        <w:widowControl w:val="0"/>
        <w:spacing w:before="1" w:line="240" w:lineRule="auto"/>
        <w:jc w:val="both"/>
      </w:pPr>
    </w:p>
    <w:p w14:paraId="64136A39" w14:textId="57DF0989" w:rsidR="00EC61FE" w:rsidRDefault="00EC61FE" w:rsidP="00E231D3">
      <w:pPr>
        <w:widowControl w:val="0"/>
        <w:spacing w:before="1" w:line="240" w:lineRule="auto"/>
        <w:jc w:val="both"/>
      </w:pPr>
    </w:p>
    <w:p w14:paraId="4FFDF257" w14:textId="77777777" w:rsidR="00EC61FE" w:rsidRPr="00EC61FE" w:rsidRDefault="00EC61FE" w:rsidP="00E231D3">
      <w:pPr>
        <w:widowControl w:val="0"/>
        <w:spacing w:before="1" w:line="240" w:lineRule="auto"/>
        <w:jc w:val="both"/>
      </w:pPr>
    </w:p>
    <w:sectPr w:rsidR="00EC61FE" w:rsidRPr="00EC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05BE"/>
    <w:multiLevelType w:val="multilevel"/>
    <w:tmpl w:val="CE8A4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9C2361"/>
    <w:multiLevelType w:val="hybridMultilevel"/>
    <w:tmpl w:val="3AAE9930"/>
    <w:lvl w:ilvl="0" w:tplc="0E0E8F06"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3357834">
    <w:abstractNumId w:val="0"/>
  </w:num>
  <w:num w:numId="2" w16cid:durableId="1344553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8B"/>
    <w:rsid w:val="00113E76"/>
    <w:rsid w:val="00165C62"/>
    <w:rsid w:val="00655E40"/>
    <w:rsid w:val="00836593"/>
    <w:rsid w:val="008F038B"/>
    <w:rsid w:val="00A15A2A"/>
    <w:rsid w:val="00E07577"/>
    <w:rsid w:val="00E11EEF"/>
    <w:rsid w:val="00E231D3"/>
    <w:rsid w:val="00EC61FE"/>
    <w:rsid w:val="00ED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99AC"/>
  <w15:chartTrackingRefBased/>
  <w15:docId w15:val="{13EADF74-1473-4299-89C6-65802484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5E40"/>
    <w:pPr>
      <w:spacing w:after="200" w:line="288" w:lineRule="auto"/>
    </w:pPr>
    <w:rPr>
      <w:rFonts w:ascii="Calibri" w:eastAsia="Calibri" w:hAnsi="Calibri" w:cs="Calibri"/>
      <w:color w:val="00000A"/>
      <w:sz w:val="21"/>
      <w:szCs w:val="21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 Melo</dc:creator>
  <cp:keywords/>
  <dc:description/>
  <cp:lastModifiedBy>Ilian Melo</cp:lastModifiedBy>
  <cp:revision>1</cp:revision>
  <dcterms:created xsi:type="dcterms:W3CDTF">2022-08-25T17:14:00Z</dcterms:created>
  <dcterms:modified xsi:type="dcterms:W3CDTF">2022-08-25T17:56:00Z</dcterms:modified>
</cp:coreProperties>
</file>