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F32F" w14:textId="77777777" w:rsidR="00C91279" w:rsidRDefault="00293A80">
      <w:pPr>
        <w:pStyle w:val="Titre"/>
      </w:pPr>
      <w:r>
        <w:t>Analyse des Correspondances</w:t>
      </w:r>
    </w:p>
    <w:p w14:paraId="694FF330" w14:textId="77777777" w:rsidR="00C91279" w:rsidRDefault="00293A80">
      <w:pPr>
        <w:pStyle w:val="Author"/>
      </w:pPr>
      <w:r>
        <w:t>Jeu de données media</w:t>
      </w:r>
    </w:p>
    <w:p w14:paraId="694FF331" w14:textId="77777777" w:rsidR="00C91279" w:rsidRDefault="00293A80">
      <w:pPr>
        <w:pStyle w:val="FirstParagraph"/>
      </w:pPr>
      <w:r>
        <w:t>Ce jeu de données contient 8 lignes et 7 colonnes.</w:t>
      </w:r>
    </w:p>
    <w:p w14:paraId="694FF332" w14:textId="77777777" w:rsidR="00C91279" w:rsidRDefault="00293A80">
      <w:r>
        <w:pict w14:anchorId="694FF34D">
          <v:rect id="_x0000_i1025" style="width:0;height:1.5pt" o:hralign="center" o:hrstd="t" o:hr="t"/>
        </w:pict>
      </w:r>
    </w:p>
    <w:p w14:paraId="694FF333" w14:textId="77777777" w:rsidR="00C91279" w:rsidRDefault="00293A80">
      <w:pPr>
        <w:pStyle w:val="Titre3"/>
      </w:pPr>
      <w:bookmarkStart w:id="0" w:name="observation-dindividus-extrêmes"/>
      <w:r>
        <w:t>1. Observation d’individus extrêmes</w:t>
      </w:r>
    </w:p>
    <w:p w14:paraId="694FF334" w14:textId="77777777" w:rsidR="00C91279" w:rsidRDefault="00293A80">
      <w:pPr>
        <w:pStyle w:val="FirstParagraph"/>
      </w:pPr>
      <w:r>
        <w:t>La détection des individus extrêmes ne s’applique pas à l’AFC.</w:t>
      </w:r>
    </w:p>
    <w:p w14:paraId="694FF335" w14:textId="77777777" w:rsidR="00C91279" w:rsidRDefault="00293A80">
      <w:pPr>
        <w:pStyle w:val="Titre3"/>
      </w:pPr>
      <w:bookmarkStart w:id="1" w:name="distribution-de-linertie"/>
      <w:bookmarkEnd w:id="0"/>
      <w:r>
        <w:t>2. Distribution de l’inertie</w:t>
      </w:r>
    </w:p>
    <w:p w14:paraId="694FF336" w14:textId="77777777" w:rsidR="00C91279" w:rsidRDefault="00293A80">
      <w:pPr>
        <w:pStyle w:val="FirstParagraph"/>
      </w:pPr>
      <w:r>
        <w:t>L’inertie des axes factoriels indique d’une part si les variables sont structurées et suggère d’autre part le nombre judicieux de composantes principales à étudier.</w:t>
      </w:r>
    </w:p>
    <w:p w14:paraId="694FF337" w14:textId="77777777" w:rsidR="00C91279" w:rsidRDefault="00293A80">
      <w:pPr>
        <w:pStyle w:val="Corpsdetexte"/>
      </w:pPr>
      <w:r>
        <w:t xml:space="preserve">Les 2 premiers axes de l’ analyse expriment </w:t>
      </w:r>
      <w:r>
        <w:rPr>
          <w:b/>
          <w:bCs/>
        </w:rPr>
        <w:t>93.1%</w:t>
      </w:r>
      <w:r>
        <w:t xml:space="preserve"> de l’inertie totale du jeu de données ; cela signifie que 93.1% de la variabilité totale du nuage des lignes (ou des colonnes) est représentée dans ce plan. C’est un pourcentage très élevé, et le premier p</w:t>
      </w:r>
      <w:r>
        <w:t xml:space="preserve">lan représente donc extrêmement bien la variabilité contenue dans l’ensemble du jeu de données actif. Cette valeur est supérieure à la valeur référence de </w:t>
      </w:r>
      <w:r>
        <w:rPr>
          <w:b/>
          <w:bCs/>
        </w:rPr>
        <w:t>81.74%</w:t>
      </w:r>
      <w:r>
        <w:t xml:space="preserve">, la variabilité expliquée par ce plan est donc significative (cette intertie de référence est </w:t>
      </w:r>
      <w:r>
        <w:t>le quantile 0.95-quantile de la distribution des pourcentages d’inertie obtenue en simulant 3177 jeux de données aléatoires de dimensions comparables sur la base d’une distribution uniforme).</w:t>
      </w:r>
    </w:p>
    <w:p w14:paraId="694FF338" w14:textId="77777777" w:rsidR="00C91279" w:rsidRDefault="00293A80">
      <w:pPr>
        <w:pStyle w:val="Corpsdetexte"/>
      </w:pPr>
      <w:r>
        <w:t>Du fait de ces observations, il n’est pas nécessaire pour l’anal</w:t>
      </w:r>
      <w:r>
        <w:t>yse d’interpréter les dimensions suivantes.</w:t>
      </w:r>
    </w:p>
    <w:p w14:paraId="694FF339" w14:textId="77777777" w:rsidR="00C91279" w:rsidRDefault="00293A80">
      <w:pPr>
        <w:pStyle w:val="Corpsdetexte"/>
      </w:pPr>
      <w:r>
        <w:rPr>
          <w:noProof/>
        </w:rPr>
        <w:lastRenderedPageBreak/>
        <w:drawing>
          <wp:inline distT="0" distB="0" distL="0" distR="0" wp14:anchorId="694FF34E" wp14:editId="694FF34F">
            <wp:extent cx="5082138" cy="3234088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apport_2022-12-09_files/figure-docx/unnamed-chunk-9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FF33A" w14:textId="77777777" w:rsidR="00C91279" w:rsidRDefault="00293A80">
      <w:pPr>
        <w:pStyle w:val="Corpsdetexte"/>
      </w:pPr>
      <w:r>
        <w:rPr>
          <w:b/>
          <w:bCs/>
        </w:rPr>
        <w:t>Figure 2 - Décomposition de l’inertie totale</w:t>
      </w:r>
      <w:r>
        <w:t xml:space="preserve"> </w:t>
      </w:r>
      <w:r>
        <w:rPr>
          <w:i/>
          <w:iCs/>
        </w:rPr>
        <w:t>Le premier facteur est prépondérant : il explique a lui seul 75.1% de la variabilité totale des données.</w:t>
      </w:r>
      <w:r>
        <w:t xml:space="preserve"> </w:t>
      </w:r>
      <w:r>
        <w:rPr>
          <w:i/>
          <w:iCs/>
        </w:rPr>
        <w:t>Il convient de noter que dans un tel cas, la variabilité lié</w:t>
      </w:r>
      <w:r>
        <w:rPr>
          <w:i/>
          <w:iCs/>
        </w:rPr>
        <w:t>e aux autres composantes peut être dénuée de sens, en dépit d’un pourcentage élevé.</w:t>
      </w:r>
    </w:p>
    <w:p w14:paraId="694FF33B" w14:textId="77777777" w:rsidR="00C91279" w:rsidRDefault="00293A80">
      <w:pPr>
        <w:pStyle w:val="Corpsdetexte"/>
      </w:pPr>
      <w:r>
        <w:t>Une estimation du nombre pertinent d’axes à interpréter suggère de restreindre l’analyse à la description des 1 premiers axes. Ces composantes révèlent un taux d’inertie su</w:t>
      </w:r>
      <w:r>
        <w:t>périeur à celle du quantile 0.95-quantile de distributions aléatoires (75.1% contre 57.79%). Cette observation suggère que seul cet axe est porteur d’une véritable information. En conséquence, la description de l’analyse sera restreinte à ces seuls axes.</w:t>
      </w:r>
    </w:p>
    <w:p w14:paraId="694FF33C" w14:textId="77777777" w:rsidR="00C91279" w:rsidRDefault="00293A80">
      <w:r>
        <w:pict w14:anchorId="694FF350">
          <v:rect id="_x0000_i1026" style="width:0;height:1.5pt" o:hralign="center" o:hrstd="t" o:hr="t"/>
        </w:pict>
      </w:r>
    </w:p>
    <w:p w14:paraId="694FF33D" w14:textId="77777777" w:rsidR="00C91279" w:rsidRDefault="00293A80">
      <w:pPr>
        <w:pStyle w:val="Titre3"/>
      </w:pPr>
      <w:bookmarkStart w:id="2" w:name="description-de-la-dimension-1"/>
      <w:bookmarkEnd w:id="1"/>
      <w:r>
        <w:lastRenderedPageBreak/>
        <w:t>3. Description de la dimension 1</w:t>
      </w:r>
    </w:p>
    <w:p w14:paraId="694FF33E" w14:textId="77777777" w:rsidR="00C91279" w:rsidRDefault="00293A80">
      <w:pPr>
        <w:pStyle w:val="FirstParagraph"/>
      </w:pPr>
      <w:r>
        <w:rPr>
          <w:noProof/>
        </w:rPr>
        <w:drawing>
          <wp:inline distT="0" distB="0" distL="0" distR="0" wp14:anchorId="694FF351" wp14:editId="694FF352">
            <wp:extent cx="5082138" cy="3234088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Rapport_2022-12-09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FF33F" w14:textId="77777777" w:rsidR="00C91279" w:rsidRDefault="00293A80">
      <w:pPr>
        <w:pStyle w:val="Corpsdetexte"/>
      </w:pPr>
      <w:r>
        <w:rPr>
          <w:b/>
          <w:bCs/>
        </w:rPr>
        <w:t>Figure 3.1 - Graphe superposé (AFC)</w:t>
      </w:r>
      <w:r>
        <w:t xml:space="preserve"> </w:t>
      </w:r>
      <w:r>
        <w:rPr>
          <w:i/>
          <w:iCs/>
        </w:rPr>
        <w:t>Les lignes libellées sont celles ayant la plus grande contribution à la construction du plan.</w:t>
      </w:r>
      <w:r>
        <w:t xml:space="preserve"> </w:t>
      </w:r>
      <w:r>
        <w:rPr>
          <w:i/>
          <w:iCs/>
        </w:rPr>
        <w:t>Les colonnes libellées sont celles les mieux représentées sur le plan.</w:t>
      </w:r>
    </w:p>
    <w:p w14:paraId="694FF340" w14:textId="77777777" w:rsidR="00C91279" w:rsidRDefault="00293A80">
      <w:r>
        <w:pict w14:anchorId="694FF353">
          <v:rect id="_x0000_i1027" style="width:0;height:1.5pt" o:hralign="center" o:hrstd="t" o:hr="t"/>
        </w:pict>
      </w:r>
    </w:p>
    <w:p w14:paraId="694FF341" w14:textId="77777777" w:rsidR="00C91279" w:rsidRDefault="00293A80">
      <w:pPr>
        <w:pStyle w:val="FirstParagraph"/>
      </w:pPr>
      <w:r>
        <w:t xml:space="preserve">La </w:t>
      </w:r>
      <w:r>
        <w:rPr>
          <w:b/>
          <w:bCs/>
        </w:rPr>
        <w:t>dimension 1</w:t>
      </w:r>
      <w:r>
        <w:t xml:space="preserve"> op</w:t>
      </w:r>
      <w:r>
        <w:t xml:space="preserve">pose des facteurs tels que </w:t>
      </w:r>
      <w:r>
        <w:rPr>
          <w:i/>
          <w:iCs/>
        </w:rPr>
        <w:t xml:space="preserve">CMOY </w:t>
      </w:r>
      <w:r>
        <w:t xml:space="preserve"> et </w:t>
      </w:r>
      <w:r>
        <w:rPr>
          <w:i/>
          <w:iCs/>
        </w:rPr>
        <w:t xml:space="preserve">CSUP </w:t>
      </w:r>
      <w:r>
        <w:t xml:space="preserve"> (à droite du graphe, caractérisés par une coordonnée fortement positive sur l’axe) à des facteurs comme </w:t>
      </w:r>
      <w:r>
        <w:rPr>
          <w:i/>
          <w:iCs/>
        </w:rPr>
        <w:t xml:space="preserve">RETR </w:t>
      </w:r>
      <w:r>
        <w:t xml:space="preserve"> (à gauche du graphe, caractérisés par une coordonnée fortement négative sur l’axe).</w:t>
      </w:r>
    </w:p>
    <w:p w14:paraId="694FF342" w14:textId="77777777" w:rsidR="00C91279" w:rsidRDefault="00293A80">
      <w:pPr>
        <w:pStyle w:val="Corpsdetexte"/>
      </w:pPr>
      <w:r>
        <w:t>Le groupe auquel les</w:t>
      </w:r>
      <w:r>
        <w:t xml:space="preserve"> facteurs </w:t>
      </w:r>
      <w:r>
        <w:rPr>
          <w:i/>
          <w:iCs/>
        </w:rPr>
        <w:t xml:space="preserve">CMOY </w:t>
      </w:r>
      <w:r>
        <w:t xml:space="preserve"> et </w:t>
      </w:r>
      <w:r>
        <w:rPr>
          <w:i/>
          <w:iCs/>
        </w:rPr>
        <w:t xml:space="preserve">CSUP </w:t>
      </w:r>
      <w:r>
        <w:t xml:space="preserve"> appartiennent (caractérisés par une coordonnée positive sur l’axe) partage :</w:t>
      </w:r>
    </w:p>
    <w:p w14:paraId="694FF343" w14:textId="77777777" w:rsidR="00C91279" w:rsidRDefault="00293A80">
      <w:pPr>
        <w:pStyle w:val="Compact"/>
        <w:numPr>
          <w:ilvl w:val="0"/>
          <w:numId w:val="2"/>
        </w:numPr>
      </w:pPr>
      <w:r>
        <w:t>des modalité dont la fréquence ne diffèrent pas significativement de la moyenne.</w:t>
      </w:r>
    </w:p>
    <w:p w14:paraId="694FF344" w14:textId="77777777" w:rsidR="00C91279" w:rsidRDefault="00293A80">
      <w:pPr>
        <w:pStyle w:val="FirstParagraph"/>
      </w:pPr>
      <w:r>
        <w:t xml:space="preserve">Le groupe auquel le facteur </w:t>
      </w:r>
      <w:r>
        <w:rPr>
          <w:i/>
          <w:iCs/>
        </w:rPr>
        <w:t xml:space="preserve">RETR </w:t>
      </w:r>
      <w:r>
        <w:t xml:space="preserve"> appartient (caractérisés par une coordo</w:t>
      </w:r>
      <w:r>
        <w:t>nnées négative sur l’axe) partage :</w:t>
      </w:r>
    </w:p>
    <w:p w14:paraId="694FF345" w14:textId="77777777" w:rsidR="00C91279" w:rsidRDefault="00293A80">
      <w:pPr>
        <w:pStyle w:val="Compact"/>
        <w:numPr>
          <w:ilvl w:val="0"/>
          <w:numId w:val="3"/>
        </w:numPr>
      </w:pPr>
      <w:r>
        <w:t>des modalité dont la fréquence ne diffèrent pas significativement de la moyenne.</w:t>
      </w:r>
    </w:p>
    <w:p w14:paraId="694FF346" w14:textId="77777777" w:rsidR="00C91279" w:rsidRDefault="00293A80">
      <w:pPr>
        <w:pStyle w:val="FirstParagraph"/>
      </w:pPr>
      <w:r>
        <w:t xml:space="preserve">Notons que les facteurs </w:t>
      </w:r>
      <w:r>
        <w:rPr>
          <w:i/>
          <w:iCs/>
        </w:rPr>
        <w:t xml:space="preserve">CSUP </w:t>
      </w:r>
      <w:r>
        <w:t xml:space="preserve">, </w:t>
      </w:r>
      <w:r>
        <w:rPr>
          <w:i/>
          <w:iCs/>
        </w:rPr>
        <w:t xml:space="preserve">CMOY </w:t>
      </w:r>
      <w:r>
        <w:t xml:space="preserve">, </w:t>
      </w:r>
      <w:r>
        <w:rPr>
          <w:i/>
          <w:iCs/>
        </w:rPr>
        <w:t xml:space="preserve">RETR </w:t>
      </w:r>
      <w:r>
        <w:t xml:space="preserve">, </w:t>
      </w:r>
      <w:r>
        <w:rPr>
          <w:i/>
          <w:iCs/>
        </w:rPr>
        <w:t>TEL</w:t>
      </w:r>
      <w:r>
        <w:t xml:space="preserve"> et </w:t>
      </w:r>
      <w:r>
        <w:rPr>
          <w:i/>
          <w:iCs/>
        </w:rPr>
        <w:t>LIV</w:t>
      </w:r>
      <w:r>
        <w:t xml:space="preserve"> sont extrêmement corrélés à cette dimension (corrélations respectives de 0.9, 0.97,</w:t>
      </w:r>
      <w:r>
        <w:t xml:space="preserve"> 0.95, 0.93, 0.97). Ces facteurs pourraient donc résumer à eux seuls la dimension 1.</w:t>
      </w:r>
    </w:p>
    <w:p w14:paraId="694FF347" w14:textId="77777777" w:rsidR="00C91279" w:rsidRDefault="00293A80">
      <w:r>
        <w:pict w14:anchorId="694FF354">
          <v:rect id="_x0000_i1028" style="width:0;height:1.5pt" o:hralign="center" o:hrstd="t" o:hr="t"/>
        </w:pict>
      </w:r>
    </w:p>
    <w:p w14:paraId="694FF348" w14:textId="77777777" w:rsidR="00C91279" w:rsidRDefault="00293A80">
      <w:r>
        <w:pict w14:anchorId="694FF355">
          <v:rect id="_x0000_i1029" style="width:0;height:1.5pt" o:hralign="center" o:hrstd="t" o:hr="t"/>
        </w:pict>
      </w:r>
    </w:p>
    <w:p w14:paraId="694FF349" w14:textId="77777777" w:rsidR="00C91279" w:rsidRDefault="00293A80">
      <w:pPr>
        <w:pStyle w:val="Titre2"/>
      </w:pPr>
      <w:bookmarkStart w:id="3" w:name="annexes"/>
      <w:bookmarkEnd w:id="2"/>
      <w:r>
        <w:lastRenderedPageBreak/>
        <w:t>Annexes</w:t>
      </w:r>
    </w:p>
    <w:p w14:paraId="694FF34A" w14:textId="77777777" w:rsidR="00C91279" w:rsidRDefault="00293A80">
      <w:pPr>
        <w:pStyle w:val="SourceCode"/>
      </w:pPr>
      <w:r>
        <w:rPr>
          <w:rStyle w:val="FunctionTok"/>
        </w:rPr>
        <w:t>dimdesc</w:t>
      </w:r>
      <w:r>
        <w:rPr>
          <w:rStyle w:val="NormalTok"/>
        </w:rPr>
        <w:t xml:space="preserve">(res, </w:t>
      </w:r>
      <w:r>
        <w:rPr>
          <w:rStyle w:val="Attribut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94FF34B" w14:textId="77777777" w:rsidR="00C91279" w:rsidRDefault="00293A80">
      <w:pPr>
        <w:pStyle w:val="SourceCode"/>
      </w:pPr>
      <w:r>
        <w:rPr>
          <w:rStyle w:val="VerbatimChar"/>
        </w:rPr>
        <w:t>named list()</w:t>
      </w:r>
    </w:p>
    <w:p w14:paraId="694FF34C" w14:textId="77777777" w:rsidR="00C91279" w:rsidRDefault="00293A80">
      <w:pPr>
        <w:pStyle w:val="FirstParagraph"/>
      </w:pPr>
      <w:r>
        <w:rPr>
          <w:b/>
          <w:bCs/>
        </w:rPr>
        <w:t>Figure 4 - Liste des variables caractéristiques des dimensions de l’analyse.</w:t>
      </w:r>
    </w:p>
    <w:bookmarkEnd w:id="3"/>
    <w:sectPr w:rsidR="00C9127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F35A" w14:textId="77777777" w:rsidR="00000000" w:rsidRDefault="00293A80">
      <w:pPr>
        <w:spacing w:after="0"/>
      </w:pPr>
      <w:r>
        <w:separator/>
      </w:r>
    </w:p>
  </w:endnote>
  <w:endnote w:type="continuationSeparator" w:id="0">
    <w:p w14:paraId="694FF35C" w14:textId="77777777" w:rsidR="00000000" w:rsidRDefault="00293A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F356" w14:textId="77777777" w:rsidR="00C91279" w:rsidRDefault="00293A80">
      <w:r>
        <w:separator/>
      </w:r>
    </w:p>
  </w:footnote>
  <w:footnote w:type="continuationSeparator" w:id="0">
    <w:p w14:paraId="694FF357" w14:textId="77777777" w:rsidR="00C91279" w:rsidRDefault="0029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60D5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1632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06990713">
    <w:abstractNumId w:val="0"/>
  </w:num>
  <w:num w:numId="2" w16cid:durableId="927619626">
    <w:abstractNumId w:val="1"/>
  </w:num>
  <w:num w:numId="3" w16cid:durableId="16301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79"/>
    <w:rsid w:val="00293A80"/>
    <w:rsid w:val="009C6A45"/>
    <w:rsid w:val="00C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94FF32F"/>
  <w15:docId w15:val="{D527766C-7091-47F4-A44E-773865A9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Correspondances</dc:title>
  <dc:creator>Jeu de données media</dc:creator>
  <cp:keywords/>
  <cp:lastModifiedBy>ilies L</cp:lastModifiedBy>
  <cp:revision>2</cp:revision>
  <dcterms:created xsi:type="dcterms:W3CDTF">2022-12-09T15:37:00Z</dcterms:created>
  <dcterms:modified xsi:type="dcterms:W3CDTF">2022-12-09T15:37:00Z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