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Автоматизированный деформационный отчет №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 xml:space="preserve"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Составлен: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город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 xml:space="preserve">Moscow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время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 xml:space="preserve">12:91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дата 19/01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кем (место работы, должность):</w:t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 xml:space="preserve">Участковый Василий,</w:t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 xml:space="preserve"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соответствии со статьей 17  Федерального закона от 08.11.2007 N 257-ФЗ (ред. от 08.12.2020) "Об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Федерации";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Постановлением Правительства РФ от 26.10.2020 N 1737 "Об утверждении Правил ремонта и содержания автомобильных дорог общего пользования федерального значения";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Приказом Минтранса РФ от 8 июня 2012 г. N 163 "Об утверждении Порядка проведения оценки уровня содержания автомобильных дорог общего пользования федерального значения" Приложение. Порядок проведения оценки уровня содержания автомобильных дорог общего пользования федерального значения</w:t>
      </w:r>
      <w:r>
        <w:rPr>
          <w:rStyle w:val="Style17"/>
          <w:rFonts w:cs="Times New Roman" w:ascii="Times New Roman" w:hAnsi="Times New Roman"/>
          <w:sz w:val="24"/>
          <w:szCs w:val="24"/>
        </w:rPr>
        <w:footnoteReference w:id="2"/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Решением Комиссии Таможенного союза от 18.10.2011 N 827 (ред. от 12.10.2015) "О принятии технического регламента Таможенного союза "Безопасность автомобильных дорог" (вместе с "ТР ТС 014/2011. Технический регламент Таможенного союза. Безопасность автомобильных дорог")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Общая таблица </w:t>
      </w:r>
    </w:p>
    <w:tbl>
      <w:tblPr>
        <w:tblStyle w:val="a5"/>
        <w:tblpPr w:bottomFromText="0" w:horzAnchor="margin" w:leftFromText="180" w:rightFromText="180" w:tblpX="0" w:tblpY="136" w:topFromText="0" w:vertAnchor="text"/>
        <w:tblW w:w="960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4961"/>
        <w:gridCol w:w="1417"/>
        <w:gridCol w:w="2410"/>
      </w:tblGrid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по списку</w:t>
            </w:r>
          </w:p>
        </w:tc>
        <w:tc>
          <w:tcPr>
            <w:tcW w:w="4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Участок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t>(адрес: страна, субъект, улица, либо км. а также внутренний номер информационной системы  по объекту в 500 метров</w:t>
            </w:r>
            <w:r>
              <w:rPr>
                <w:rStyle w:val="Style17"/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footnoteReference w:id="3"/>
            </w:r>
            <w:r>
              <w:rPr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t>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Дата появления дефекта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Вид дефекта</w:t>
            </w:r>
            <w:r>
              <w:rPr>
                <w:rStyle w:val="Style17"/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footnoteReference w:id="4"/>
            </w:r>
          </w:p>
        </w:tc>
      </w:tr>
      <w:tr>
        <w:tc>
          <w:tcPr>
            <w:tcW w:type="dxa" w:w="817"/>
          </w:tcPr>
          <w:p>
            <w:r>
              <w:t>12</w:t>
            </w:r>
          </w:p>
        </w:tc>
        <w:tc>
          <w:tcPr>
            <w:tcW w:type="dxa" w:w="4961"/>
          </w:tcPr>
          <w:p>
            <w:r>
              <w:t>Moscow Дорога</w:t>
            </w:r>
          </w:p>
        </w:tc>
        <w:tc>
          <w:tcPr>
            <w:tcW w:type="dxa" w:w="1417"/>
          </w:tcPr>
          <w:p>
            <w:r>
              <w:t>19/01;12:03</w:t>
            </w:r>
          </w:p>
        </w:tc>
        <w:tc>
          <w:tcPr>
            <w:tcW w:type="dxa" w:w="2410"/>
          </w:tcPr>
          <w:p>
            <w:r>
              <w:t>Яма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Таблица по объекту №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 xml:space="preserve"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(внутренний номер информационной системы)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Название автомобильной дороги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en-US" w:eastAsia="en-US" w:bidi="ar-SA"/>
        </w:rPr>
        <w:t xml:space="preserve"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Адрес участка, км 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/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Характерный период: </w:t>
      </w:r>
      <w:r>
        <w:rPr>
          <w:rFonts w:cs="Times New Roman" w:ascii="Times New Roman" w:hAnsi="Times New Roman"/>
          <w:i/>
          <w:sz w:val="20"/>
          <w:szCs w:val="20"/>
        </w:rPr>
        <w:t xml:space="preserve">(весна-лето-осень-зима) </w:t>
      </w:r>
      <w:r>
        <w:rPr>
          <w:rFonts w:cs="Times New Roman" w:ascii="Times New Roman" w:hAnsi="Times New Roman"/>
          <w:i/>
          <w:sz w:val="20"/>
          <w:szCs w:val="20"/>
          <w:lang w:val="en-US"/>
        </w:rPr>
        <w:t xml:space="preserve"/>
      </w:r>
    </w:p>
    <w:p>
      <w:pPr>
        <w:pStyle w:val="Normal"/>
        <w:rPr/>
      </w:pPr>
      <w:r>
        <w:rPr/>
      </w:r>
    </w:p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>
          <w:trHeight w:val="547" w:hRule="atLeast"/>
        </w:trPr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Дорожная одежда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Деформации и разрушения  с удалением материала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покрытия с удалением материала (выбоины, выкрашивание, шелушение, проломы, сколы кромок)</w:t>
            </w:r>
          </w:p>
        </w:tc>
        <w:tc>
          <w:tcPr>
            <w:tcW w:w="1133" w:type="dxa"/>
            <w:tcBorders>
              <w:top w:val="nil"/>
            </w:tcBorders>
          </w:tcPr>
          <w:p>
            <w:r>
              <w:t>19/01</w:t>
            </w:r>
          </w:p>
        </w:tc>
        <w:tc>
          <w:tcPr>
            <w:tcW w:w="1277" w:type="dxa"/>
            <w:tcBorders>
              <w:top w:val="nil"/>
            </w:tcBorders>
          </w:tcPr>
          <w:p>
            <w:r>
              <w:t>12</w:t>
            </w:r>
          </w:p>
        </w:tc>
        <w:tc>
          <w:tcPr>
            <w:tcW w:w="1561" w:type="dxa"/>
            <w:tcBorders>
              <w:top w:val="nil"/>
            </w:tcBorders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Деформации и разрушения без удаления материала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Изменение продольного и поперечного профиля покрытия без удаления материала. Нарушение целостности покрытия с удалением материала (выбоины, выкрашивание, шелушение, проломы, сколы кромок, гребенка)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Просадки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профиля покрытия в виде впадин с пологими краями, нередко сопровождающееся сеткой трещин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Выбоины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покрытия в виде углублений разной формы с резко выраженными краями (более 3 см глубиной и 200 кв. см по площади)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Выкрашивание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дорожного покрытия за счет потери зерен минерального материала (менее 3 см глубиной и 200 кв. см по площади)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Шелушение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поверхности покрытия за счет отслаивания тонких пленок и чешуек материала, разрушаемого под действием воды и мороза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Проломы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Полное разрушение дорожной одежды на всю её толщину с резким искажением поперечного профиля, сопровождающееся сеткой трещин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Сколы кромок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кромок швов и углов плит цементобетонных покрытий, разрушение кромок дорожных покрытий нежесткого типа в местах сопряжения их с обочинами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Необработанные места выпотевания вяжущего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Излишек вяжущего на поверхности покрытия с изменением его текстуры и цвета, площадью более 1 кв. м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профиля, гребенка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профиля в виде впадин, углублений, взбугриваний, разрушение покрытий из щебня, гравия и грунта в виде поперечных выступов и углублений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Трещины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покрытия без удаления материала с образованием узких щелей. Трещины произвольного очертания и расположения с шириной раскрытия более 3 мм на покрытии проезжей части с образованием углублений по полосам наката с гребнями или без гребней выпора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Разрушенные и не заполненные мастикой деформационные швы на цементобетонном покрытии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Загрязнение, наличие посторонних включений, разрушение самих швов и покрытий около них, наличие и состояние деталей крепления и элементов швов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Колейность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поперечного профиля покрытия вдоль полос наката, нередко сопровождающееся продольными трещинами и сеткой трещин (глубина до 30 мм) с образованием углублений по полосам наката с гребнями или без гребней выпора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дорожной одежды на участках с пучинистыми и слабыми грунтами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дорожной одежды до 50 </w:t>
            </w:r>
            <w:r>
              <w:rPr/>
              <w:drawing>
                <wp:inline distT="0" distB="0" distL="0" distR="0">
                  <wp:extent cx="209550" cy="257175"/>
                  <wp:effectExtent l="0" t="0" r="0" b="0"/>
                  <wp:docPr id="1001" name="Рисунок 1" descr="https://base.garant.ru/files/base/70192702/29628066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base.garant.ru/files/base/70192702/29628066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, с выдавливанием грунта на поверхность или взбугриванием покрытия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Полосы загрязнения у кромок покрытия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загрязнения покрытия из пыли, грязи и мусора у кромок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Посторонние предметы на проезжей части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на проезжей части посторонних предметов, дорожных материалов, изделий, конструкций, не обозначенных соответствующими техническими средствами организации дорожного движения (дорожные знаки, ограждения и др.) и создающие предпосылки для возникновения дорожно-транспортных происшествий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</w:tbl>
    <w:p>
      <w:pPr>
        <w:pStyle w:val="Style24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>
          <w:trHeight w:val="562" w:hRule="atLeast"/>
        </w:trPr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color w:val="auto"/>
                <w:kern w:val="0"/>
                <w:sz w:val="20"/>
                <w:szCs w:val="20"/>
                <w:lang w:val="ru-RU" w:eastAsia="en-US" w:bidi="ar-SA"/>
              </w:rPr>
              <w:t>М</w:t>
            </w: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остовые сооружения (мостовое полотно)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 мостового полотна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Загрязнения покрытия мостовых сооружений вдоль тротуаров и ограждений</w:t>
            </w:r>
          </w:p>
        </w:tc>
        <w:tc>
          <w:tcPr>
            <w:tcW w:w="1133" w:type="dxa"/>
            <w:tcBorders>
              <w:top w:val="nil"/>
            </w:tcBorders>
          </w:tcPr>
          <w:p>
            <w:r>
              <w:t>19/01</w:t>
            </w:r>
          </w:p>
        </w:tc>
        <w:tc>
          <w:tcPr>
            <w:tcW w:w="1277" w:type="dxa"/>
            <w:tcBorders>
              <w:top w:val="nil"/>
            </w:tcBorders>
          </w:tcPr>
          <w:p>
            <w:r>
              <w:t>12</w:t>
            </w:r>
          </w:p>
        </w:tc>
        <w:tc>
          <w:tcPr>
            <w:tcW w:w="1561" w:type="dxa"/>
            <w:tcBorders>
              <w:top w:val="nil"/>
            </w:tcBorders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Застой воды на проезжей части и тротуарах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Покрытие проезжей части и тротуаров не имеет уклонов к водоотводным устройствам, вода не сбрасывается водоотводными устройствами за пределы сооружения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Отдельные выбоины в покрытии тротуаров, проломы в тротуарных плитах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Местные разрушения покрытия тротуара в виде углублений разной формы с резко выраженными краями, сквозные локальные проломы (разрушения) тротуарных плит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Засорение водоотводных трубок и окон в тротуарных блоках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конструкции и засорение, наличие мусора, снега и льда на водоотводных лотках перед мостом, под деформационными швами и водоотводными трубками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</w:tbl>
    <w:p>
      <w:pPr>
        <w:pStyle w:val="Style24"/>
        <w:rPr/>
      </w:pPr>
      <w:r>
        <w:rPr/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</w:r>
    </w:p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64C55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kern w:val="0"/>
                <w:sz w:val="20"/>
                <w:szCs w:val="20"/>
                <w:lang w:val="ru-RU" w:eastAsia="ru-RU" w:bidi="ar-SA"/>
              </w:rPr>
              <w:t>Пролетные строения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 насадок опор, опорных частей, лестничных сходов, перил и ограждений безопасности на мостовых сооружениях и подходах к ним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Загрязнение, растительность, мох, снежно-ледяная масса в местах установки опорных узлов между пролетными строениями, опорами и насадками опор, лестничных сходов, перил и ограждений безопасности на мостовых сооружениях и на подходах к ним</w:t>
            </w:r>
          </w:p>
        </w:tc>
        <w:tc>
          <w:tcPr>
            <w:tcW w:w="1133" w:type="dxa"/>
            <w:tcBorders>
              <w:top w:val="nil"/>
            </w:tcBorders>
          </w:tcPr>
          <w:p>
            <w:r>
              <w:t>19/01</w:t>
            </w:r>
          </w:p>
        </w:tc>
        <w:tc>
          <w:tcPr>
            <w:tcW w:w="1277" w:type="dxa"/>
            <w:tcBorders>
              <w:top w:val="nil"/>
            </w:tcBorders>
          </w:tcPr>
          <w:p>
            <w:r>
              <w:t>12</w:t>
            </w:r>
          </w:p>
        </w:tc>
        <w:tc>
          <w:tcPr>
            <w:tcW w:w="1561" w:type="dxa"/>
            <w:tcBorders>
              <w:top w:val="nil"/>
            </w:tcBorders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болтов и заклепок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 или потеря крепежной способности (ржавые, не затянутые и т.п.) болтовых и заклепочных соединений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</w:tbl>
    <w:p>
      <w:pPr>
        <w:pStyle w:val="Style24"/>
        <w:rPr/>
      </w:pPr>
      <w:r>
        <w:rPr/>
      </w:r>
    </w:p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Тоннели, галереи, пешеходные переходы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Локальные повреждения обделки тоннеля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гидроизоляции, наличие сколов, трещин, выщелачивания, вымывания породы и раствора, образование наледей на стенах и сводах тоннелей</w:t>
            </w:r>
          </w:p>
        </w:tc>
        <w:tc>
          <w:tcPr>
            <w:tcW w:w="1133" w:type="dxa"/>
            <w:tcBorders>
              <w:top w:val="nil"/>
            </w:tcBorders>
          </w:tcPr>
          <w:p>
            <w:r>
              <w:t>19/01</w:t>
            </w:r>
          </w:p>
        </w:tc>
        <w:tc>
          <w:tcPr>
            <w:tcW w:w="1277" w:type="dxa"/>
            <w:tcBorders>
              <w:top w:val="nil"/>
            </w:tcBorders>
          </w:tcPr>
          <w:p>
            <w:r>
              <w:t>12</w:t>
            </w:r>
          </w:p>
        </w:tc>
        <w:tc>
          <w:tcPr>
            <w:tcW w:w="1561" w:type="dxa"/>
            <w:tcBorders>
              <w:top w:val="nil"/>
            </w:tcBorders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Оползание грунта над порталами тоннеля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системы водоотвода, целостности укрепительных сооружений, отсутствие либо неработоспособное состояние противоэрозионного озеленения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надземных (подземных) пешеходных переходов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Загрязнения и повреждения кровли и стен крытых надземных (подземных) пешеходных переходов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Подпорные стенки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  <w:r>
              <w:rPr>
                <w:rStyle w:val="Style17"/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footnoteReference w:id="7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Повреждение конструкции подпорных стенок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разрушений кладки, повреждение штукатурки и окраски, трещины, нарушение целостности обвязки, герметичности деформационных швов подпорных стенок, отклонение от проектных отметок в вертикальной плоскости, засорение (разрушение) дренажных окон, трубок и пр.</w:t>
            </w:r>
          </w:p>
        </w:tc>
        <w:tc>
          <w:tcPr>
            <w:tcW w:w="1133" w:type="dxa"/>
            <w:tcBorders>
              <w:top w:val="nil"/>
            </w:tcBorders>
          </w:tcPr>
          <w:p>
            <w:r>
              <w:t>19/01</w:t>
            </w:r>
          </w:p>
        </w:tc>
        <w:tc>
          <w:tcPr>
            <w:tcW w:w="1277" w:type="dxa"/>
            <w:tcBorders>
              <w:top w:val="nil"/>
            </w:tcBorders>
          </w:tcPr>
          <w:p>
            <w:r>
              <w:t>12</w:t>
            </w:r>
          </w:p>
        </w:tc>
        <w:tc>
          <w:tcPr>
            <w:tcW w:w="1561" w:type="dxa"/>
            <w:tcBorders>
              <w:top w:val="nil"/>
            </w:tcBorders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Подмывы и размывы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Не обеспечен водоотвод, водоотводные лотки загрязнены, наличие деревьев и кустарниковой растительности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Очистные сооружения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Мусор и посторонние предметы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мусора и посторонних предметов, находящихся в санитарной зоне очистных сооружений, водоподводящих и водоотводящих канавах (трубах), на приемных решетках, акватории буферной копани гидроботанических площадок и других конструктивных элементах очистного сооружения</w:t>
            </w:r>
          </w:p>
        </w:tc>
        <w:tc>
          <w:tcPr>
            <w:tcW w:w="1133" w:type="dxa"/>
            <w:tcBorders>
              <w:top w:val="nil"/>
            </w:tcBorders>
          </w:tcPr>
          <w:p>
            <w:r>
              <w:t>19/01</w:t>
            </w:r>
          </w:p>
        </w:tc>
        <w:tc>
          <w:tcPr>
            <w:tcW w:w="1277" w:type="dxa"/>
            <w:tcBorders>
              <w:top w:val="nil"/>
            </w:tcBorders>
          </w:tcPr>
          <w:p>
            <w:r>
              <w:t>12</w:t>
            </w:r>
          </w:p>
        </w:tc>
        <w:tc>
          <w:tcPr>
            <w:tcW w:w="1561" w:type="dxa"/>
            <w:tcBorders>
              <w:top w:val="nil"/>
            </w:tcBorders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системы водоочистки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 или несвоевременная замена (предусмотренная технической и нормативной документацией) фильтрующих элементов и их наполнителей. Наличие протечек и наличие негерметичных стыков в конструкции очистных сооружений, наличие масляных и нефтяных пятен на поверхности воды на выходе очистных сооружений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Иловые отложения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Скопление иловых отложений в канавах, прудах, отстойниках очистных сооружений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Растительность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не скошенной растительности в канавах, на санитарной территории, прудах и отстойниках очистных сооружений (кроме предусмотренной технической документацией)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4959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Элементы обустройства автомобильных дорог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4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знаков и табло с изменяющейся информацией. Дефекты табло с изменяющейся информацией, затрудняющие ее восприятие</w:t>
            </w:r>
          </w:p>
        </w:tc>
        <w:tc>
          <w:tcPr>
            <w:tcW w:w="4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повреждений (деформаций) знаков и элементов их крепления с нарушением символики, яркости элементов изображения, потеря световозвращающей способности и нормативной видимости</w:t>
            </w:r>
          </w:p>
        </w:tc>
        <w:tc>
          <w:tcPr>
            <w:tcW w:w="1133" w:type="dxa"/>
            <w:tcBorders>
              <w:top w:val="nil"/>
            </w:tcBorders>
          </w:tcPr>
          <w:p>
            <w:r>
              <w:t>19/01</w:t>
            </w:r>
          </w:p>
        </w:tc>
        <w:tc>
          <w:tcPr>
            <w:tcW w:w="1277" w:type="dxa"/>
            <w:tcBorders>
              <w:top w:val="nil"/>
            </w:tcBorders>
          </w:tcPr>
          <w:p>
            <w:r>
              <w:t>12</w:t>
            </w:r>
          </w:p>
        </w:tc>
        <w:tc>
          <w:tcPr>
            <w:tcW w:w="1561" w:type="dxa"/>
            <w:tcBorders>
              <w:top w:val="nil"/>
            </w:tcBorders>
          </w:tcPr>
          <w:p>
            <w:r>
              <w:t>Обнаружено</w:t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направляющих устройств (дорожных сигнальных столбиков, дорожных тумб, буферов и т.д.)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деформаций, трещин, сколов на поверхности, влияющих на безопасность дорожного движения. Необеспеченный световозвращающий эффект, затруднение восприятия, в том числе из-за неудовлетворительной и не своевременной снегоочистки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светофоров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видимых повреждений и разрушений колонок, козырьков, рассеивателей, отражателей, равно как их отсутствие. Недостаточная распознаваемость сигналов (от 100 метров и более), а также символов, наносимых на рассеиватели (от 50 м и более). Применение нестандартных элементов, снижающих эксплуатационные показатели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зеркал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трещин и сколов, неправильный угол обзора, затрудняющий видимость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Видимые повреждения бордюров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разрушений и сколов открытой поверхности бордюров, занижений (высотой менее 15 см от уровня проезжей части до верхней плоскости), отсутствие линий вертикальной разметки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стоек дорожных знаков (П, Г и Т-образные опоры)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Отклонение от вертикальной оси более чем на 5 градусов, наличие повреждений и открытой коррозии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линий наружного электроосвещения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Отказы в работе наружных осветительных установок, неисправные лампы, светильники, обрыв проводов, кабелей, поломка трансформаторов и других элементов электроосвещения, недостаточная освещенность конструктивных элементов автомобильной дороги, отклонение от вертикального состояния (более чем на 5 градусов), потеря несущей способности опор наружного электроосвещения, шелушение поверхности опор и др.</w:t>
            </w:r>
          </w:p>
        </w:tc>
        <w:tc>
          <w:tcPr>
            <w:tcW w:w="1133" w:type="dxa"/>
            <w:tcBorders/>
          </w:tcPr>
          <w:p>
            <w:r>
              <w:t>19/01</w:t>
            </w:r>
          </w:p>
        </w:tc>
        <w:tc>
          <w:tcPr>
            <w:tcW w:w="1277" w:type="dxa"/>
            <w:tcBorders/>
          </w:tcPr>
          <w:p>
            <w:r>
              <w:t>12</w:t>
            </w:r>
          </w:p>
        </w:tc>
        <w:tc>
          <w:tcPr>
            <w:tcW w:w="1561" w:type="dxa"/>
            <w:tcBorders/>
          </w:tcPr>
          <w:p>
            <w:r>
              <w:t>Обнаружено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ПРИЛОЖЕНИЕ № ___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33637100"/>
    </w:sdtPr>
    <w:sdtContent>
      <w:p>
        <w:pPr>
          <w:pStyle w:val="Style31"/>
          <w:pBdr>
            <w:bottom w:val="single" w:sz="12" w:space="1" w:color="000000"/>
          </w:pBdr>
          <w:jc w:val="center"/>
          <w:rPr/>
        </w:pPr>
        <w:r>
          <w:rPr/>
        </w:r>
      </w:p>
      <w:p>
        <w:pPr>
          <w:pStyle w:val="Style31"/>
          <w:jc w:val="center"/>
          <w:rPr/>
        </w:pPr>
        <w:r>
          <w:rPr/>
        </w:r>
      </w:p>
      <w:p>
        <w:pPr>
          <w:pStyle w:val="Style31"/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  <w:t xml:space="preserve">Документ «Автоматизированный деформационный отчет»  составлен  с помощью  программного продукта </w:t>
        </w:r>
      </w:p>
      <w:p>
        <w:pPr>
          <w:pStyle w:val="Style31"/>
          <w:pBdr>
            <w:bottom w:val="single" w:sz="12" w:space="1" w:color="000000"/>
          </w:pBdr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  <w:t>LRI  (Laitsef Road Inspector) ©</w:t>
        </w:r>
      </w:p>
      <w:p>
        <w:pPr>
          <w:pStyle w:val="Style31"/>
          <w:pBdr>
            <w:bottom w:val="single" w:sz="12" w:space="1" w:color="000000"/>
          </w:pBdr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</w:r>
      </w:p>
      <w:p>
        <w:pPr>
          <w:pStyle w:val="Style31"/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</w:r>
      </w:p>
    </w:sdtContent>
  </w:sdt>
  <w:p>
    <w:pPr>
      <w:pStyle w:val="Style31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rPr>
          <w:rFonts w:ascii="Times New Roman" w:hAnsi="Times New Roman" w:cs="Times New Roman"/>
          <w:i/>
          <w:i/>
        </w:rPr>
      </w:pPr>
      <w:r>
        <w:rPr>
          <w:rStyle w:val="Style20"/>
        </w:rPr>
        <w:footnoteRef/>
      </w:r>
      <w:r>
        <w:rPr/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  <w:r>
        <w:rPr>
          <w:rFonts w:cs="Times New Roman" w:ascii="Times New Roman" w:hAnsi="Times New Roman"/>
          <w:i/>
        </w:rPr>
        <w:t xml:space="preserve">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4. Оценка уровня содержания автомобильных дорог проводится с целью: получения информации о фактическом уровне содержания автомобильных дорог и использования данной информации для целей управления качеством содержания автомобильных дорог; определения уровня содержания автомобильных дорог, на основании которого в соответствии с условиями контракта на содержание автомобильных дорог, заключенного между Заказчиком и Исполнителем, принимается решение о величине оплаты выполненных работ, применении или неприменении к Исполнителю мер ответственности за несоблюдение условий контракта в части выполнения таких видов работ.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18. Уровень содержания участка автомобильной дороги определяется посредством визуального осмотра каждого конструктивного элемента и составляющих конструктивного элемента автомобильной дороги. При наличии разногласий при проведении оценки уровня содержания между Заказчиком и Исполнителем выполняют инструментальные измерения с фиксацией обнаруженных дефектов с целью определения величины отклонения от показателей настоящего Порядка.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20. В процессе оценки Заказчик на каждом километре автомобильной дороги фиксирует дефекты содержания по конструктивным элементам и их составляющим с указанием параметров этих дефектов.</w:t>
      </w:r>
    </w:p>
  </w:footnote>
  <w:footnote w:id="3">
    <w:p>
      <w:pPr>
        <w:pStyle w:val="Style28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rFonts w:cs="Times New Roman" w:ascii="Times New Roman" w:hAnsi="Times New Roman"/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 xml:space="preserve">Примечание: </w:t>
      </w:r>
    </w:p>
    <w:p>
      <w:pPr>
        <w:pStyle w:val="Style28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Каждому объекту длинной в 500 метров  информационной системой  присваивается внутренний номер.</w:t>
      </w:r>
    </w:p>
    <w:p>
      <w:pPr>
        <w:pStyle w:val="Style28"/>
        <w:rPr>
          <w:rFonts w:ascii="Times New Roman" w:hAnsi="Times New Roman" w:cs="Times New Roman"/>
          <w:sz w:val="16"/>
          <w:szCs w:val="16"/>
        </w:rPr>
      </w:pPr>
      <w:r>
        <w:rPr/>
      </w:r>
    </w:p>
  </w:footnote>
  <w:footnote w:id="4">
    <w:p>
      <w:pPr>
        <w:pStyle w:val="Style2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Style w:val="Style20"/>
        </w:rPr>
        <w:footnoteRef/>
      </w:r>
      <w:r>
        <w:rPr>
          <w:rFonts w:cs="Times New Roman" w:ascii="Times New Roman" w:hAnsi="Times New Roman"/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  <w:r>
        <w:rPr>
          <w:rFonts w:cs="Times New Roman" w:ascii="Times New Roman" w:hAnsi="Times New Roman"/>
          <w:sz w:val="16"/>
          <w:szCs w:val="16"/>
        </w:rPr>
        <w:t xml:space="preserve"> </w:t>
      </w:r>
    </w:p>
    <w:p>
      <w:pPr>
        <w:pStyle w:val="Style2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Автоматическая фиксация деформаций с классификацией по ГОСТ 32825-2014 Дороги автомобильные общего пользования. Дорожные покрытия. Методы измерения геометрических размеров повреждений.</w:t>
      </w:r>
    </w:p>
  </w:footnote>
  <w:footnote w:id="5">
    <w:p>
      <w:pPr>
        <w:pStyle w:val="Style28"/>
        <w:widowControl w:val="false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b/>
          <w:i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</w:p>
    <w:p>
      <w:pPr>
        <w:pStyle w:val="Style28"/>
        <w:widowControl w:val="false"/>
        <w:rPr/>
      </w:pPr>
      <w:r>
        <w:rPr>
          <w:rFonts w:cs="Times New Roman" w:ascii="Times New Roman" w:hAnsi="Times New Roman"/>
          <w:sz w:val="16"/>
          <w:szCs w:val="16"/>
        </w:rPr>
        <w:t>Фотографии обнаруженной деформации, ее описание (длина, ширина).</w:t>
      </w:r>
    </w:p>
  </w:footnote>
  <w:footnote w:id="6">
    <w:p>
      <w:pPr>
        <w:pStyle w:val="Style28"/>
        <w:widowControl w:val="false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</w:p>
    <w:p>
      <w:pPr>
        <w:pStyle w:val="Style28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При проверке обнаружено / не обнаружено.</w:t>
      </w:r>
    </w:p>
  </w:footnote>
  <w:footnote w:id="7">
    <w:p>
      <w:pPr>
        <w:pStyle w:val="Style28"/>
        <w:widowControl w:val="false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</w:p>
    <w:p>
      <w:pPr>
        <w:pStyle w:val="Style28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При проверке обнаружено / не обнаружено.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98997360"/>
    </w:sdtPr>
    <w:sdtContent>
      <w:p>
        <w:pPr>
          <w:pStyle w:val="Style30"/>
          <w:pBdr>
            <w:bottom w:val="single" w:sz="4" w:space="1" w:color="D9D9D9"/>
          </w:pBdr>
          <w:jc w:val="right"/>
          <w:rPr>
            <w:b/>
            <w:b/>
            <w:bCs/>
          </w:rPr>
        </w:pPr>
        <w:r>
          <w:rPr>
            <w:color w:val="808080" w:themeColor="background1" w:themeShade="80"/>
            <w:spacing w:val="60"/>
          </w:rPr>
          <w:t>Страница</w:t>
        </w:r>
        <w:r>
          <w:rPr/>
          <w:t xml:space="preserve"> |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0</w:t>
        </w:r>
        <w:r>
          <w:rPr>
            <w:b/>
            <w:bCs/>
          </w:rPr>
          <w:fldChar w:fldCharType="end"/>
        </w:r>
      </w:p>
    </w:sdtContent>
  </w:sdt>
  <w:p>
    <w:pPr>
      <w:pStyle w:val="Style3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c3c9e"/>
    <w:rPr>
      <w:rFonts w:ascii="Tahoma" w:hAnsi="Tahoma" w:cs="Tahoma"/>
      <w:sz w:val="16"/>
      <w:szCs w:val="16"/>
    </w:rPr>
  </w:style>
  <w:style w:type="character" w:styleId="Style15">
    <w:name w:val="Интернет-ссылка"/>
    <w:basedOn w:val="DefaultParagraphFont"/>
    <w:uiPriority w:val="99"/>
    <w:unhideWhenUsed/>
    <w:rsid w:val="0001623b"/>
    <w:rPr>
      <w:color w:val="0000FF" w:themeColor="hyperlink"/>
      <w:u w:val="single"/>
    </w:rPr>
  </w:style>
  <w:style w:type="character" w:styleId="Style16" w:customStyle="1">
    <w:name w:val="Текст сноски Знак"/>
    <w:basedOn w:val="DefaultParagraphFont"/>
    <w:link w:val="a7"/>
    <w:uiPriority w:val="99"/>
    <w:semiHidden/>
    <w:qFormat/>
    <w:rsid w:val="00474f80"/>
    <w:rPr>
      <w:sz w:val="20"/>
      <w:szCs w:val="20"/>
    </w:rPr>
  </w:style>
  <w:style w:type="character" w:styleId="Style17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74f80"/>
    <w:rPr>
      <w:vertAlign w:val="superscript"/>
    </w:rPr>
  </w:style>
  <w:style w:type="character" w:styleId="Style18" w:customStyle="1">
    <w:name w:val="Верхний колонтитул Знак"/>
    <w:basedOn w:val="DefaultParagraphFont"/>
    <w:link w:val="aa"/>
    <w:uiPriority w:val="99"/>
    <w:qFormat/>
    <w:rsid w:val="00b75032"/>
    <w:rPr/>
  </w:style>
  <w:style w:type="character" w:styleId="Style19" w:customStyle="1">
    <w:name w:val="Нижний колонтитул Знак"/>
    <w:basedOn w:val="DefaultParagraphFont"/>
    <w:link w:val="ac"/>
    <w:uiPriority w:val="99"/>
    <w:qFormat/>
    <w:rsid w:val="00b75032"/>
    <w:rPr/>
  </w:style>
  <w:style w:type="character" w:styleId="Style20">
    <w:name w:val="Символ сноски"/>
    <w:qFormat/>
    <w:rPr/>
  </w:style>
  <w:style w:type="character" w:styleId="Style21">
    <w:name w:val="Привязка концевой сноски"/>
    <w:rPr>
      <w:vertAlign w:val="superscript"/>
    </w:rPr>
  </w:style>
  <w:style w:type="character" w:styleId="Style22">
    <w:name w:val="Символ концевой сноски"/>
    <w:qFormat/>
    <w:rPr/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4">
    <w:name w:val="Body Text"/>
    <w:basedOn w:val="Normal"/>
    <w:pPr>
      <w:spacing w:lineRule="auto" w:line="276" w:before="0" w:after="140"/>
    </w:pPr>
    <w:rPr/>
  </w:style>
  <w:style w:type="paragraph" w:styleId="Style25">
    <w:name w:val="List"/>
    <w:basedOn w:val="Style24"/>
    <w:pPr/>
    <w:rPr>
      <w:rFonts w:cs="Mangal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c3c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8">
    <w:name w:val="Footnote Text"/>
    <w:basedOn w:val="Normal"/>
    <w:link w:val="a8"/>
    <w:uiPriority w:val="99"/>
    <w:semiHidden/>
    <w:unhideWhenUsed/>
    <w:rsid w:val="00474f80"/>
    <w:pPr>
      <w:spacing w:lineRule="auto" w:line="240" w:before="0" w:after="0"/>
    </w:pPr>
    <w:rPr>
      <w:sz w:val="20"/>
      <w:szCs w:val="20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Header"/>
    <w:basedOn w:val="Normal"/>
    <w:link w:val="ab"/>
    <w:uiPriority w:val="99"/>
    <w:unhideWhenUsed/>
    <w:rsid w:val="00b750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Footer"/>
    <w:basedOn w:val="Normal"/>
    <w:link w:val="ad"/>
    <w:uiPriority w:val="99"/>
    <w:unhideWhenUsed/>
    <w:rsid w:val="00b750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ba6f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A1A55-030F-4BA2-A4B7-F14F938A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Application>LibreOffice/7.2.2.2$Windows_X86_64 LibreOffice_project/02b2acce88a210515b4a5bb2e46cbfb63fe97d56</Application>
  <AppVersion>15.0000</AppVersion>
  <Pages>10</Pages>
  <Words>2033</Words>
  <Characters>14805</Characters>
  <CharactersWithSpaces>16741</CharactersWithSpaces>
  <Paragraphs>234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2021-06-16T10:03:00Z</dcterms:created>
  <dc:creator>ОМС</dc:creator>
  <dc:description/>
  <dc:language>ru-RU</dc:language>
  <cp:lastModifiedBy/>
  <dcterms:modified xsi:type="dcterms:W3CDTF">2021-11-21T17:17:01Z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