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Автоматизированный деформационный отчет №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{{report_num}}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Составлен: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город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{{city}}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          время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{{time}}</w:t>
      </w:r>
      <w:r>
        <w:rPr>
          <w:rFonts w:cs="Times New Roman" w:ascii="Times New Roman" w:hAnsi="Times New Roman"/>
          <w:b/>
          <w:sz w:val="24"/>
          <w:szCs w:val="24"/>
        </w:rPr>
        <w:t xml:space="preserve">                           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дата {{date}}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кем (место работы, должность):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{{whos}},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/>
          <w:b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4"/>
          <w:lang w:val="en-US" w:eastAsia="en-US" w:bidi="ar-SA"/>
        </w:rPr>
        <w:t>{{position}}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соответствии со статьей 17  Федерального закона от 08.11.2007 N 257-ФЗ (ред. от 08.12.2020) "Об автомобильных дорогах и о дорожной деятельности в Российской Федерации и о внесении изменений в отдельные законодательные акты Российской Федерации";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Постановлением Правительства РФ от 26.10.2020 N 1737 "Об утверждении Правил ремонта и содержания автомобильных дорог общего пользования федерального значения";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Приказом Минтранса РФ от 8 июня 2012 г. N 163 "Об утверждении Порядка проведения оценки уровня содержания автомобильных дорог общего пользования федерального значения" Приложение. Порядок проведения оценки уровня содержания автомобильных дорог общего пользования федерального значения</w:t>
      </w:r>
      <w:r>
        <w:rPr>
          <w:rStyle w:val="Style17"/>
          <w:rFonts w:cs="Times New Roman" w:ascii="Times New Roman" w:hAnsi="Times New Roman"/>
          <w:sz w:val="24"/>
          <w:szCs w:val="24"/>
        </w:rPr>
        <w:footnoteReference w:id="2"/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Решением Комиссии Таможенного союза от 18.10.2011 N 827 (ред. от 12.10.2015) "О принятии технического регламента Таможенного союза "Безопасность автомобильных дорог" (вместе с "ТР ТС 014/2011. Технический регламент Таможенного союза. Безопасность автомобильных дорог")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Общая таблица </w:t>
      </w:r>
    </w:p>
    <w:tbl>
      <w:tblPr>
        <w:tblStyle w:val="a5"/>
        <w:tblpPr w:bottomFromText="0" w:horzAnchor="margin" w:leftFromText="180" w:rightFromText="180" w:tblpX="0" w:tblpY="136" w:topFromText="0" w:vertAnchor="text"/>
        <w:tblW w:w="96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4961"/>
        <w:gridCol w:w="1417"/>
        <w:gridCol w:w="2410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по списку</w:t>
            </w:r>
          </w:p>
        </w:tc>
        <w:tc>
          <w:tcPr>
            <w:tcW w:w="49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Участок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(адрес: страна, субъект, улица, либо км. а также внутренний номер информационной системы  по объекту в 500 метров</w:t>
            </w:r>
            <w:r>
              <w:rPr>
                <w:rStyle w:val="Style17"/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footnoteReference w:id="3"/>
            </w:r>
            <w:r>
              <w:rPr>
                <w:rFonts w:eastAsia="Calibri" w:cs="Times New Roman" w:ascii="Times New Roman" w:hAnsi="Times New Roman"/>
                <w:i/>
                <w:kern w:val="0"/>
                <w:sz w:val="16"/>
                <w:szCs w:val="16"/>
                <w:lang w:val="ru-RU" w:eastAsia="en-US" w:bidi="ar-SA"/>
              </w:rPr>
              <w:t>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Дата появления дефекта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t>Вид дефекта</w:t>
            </w:r>
            <w:r>
              <w:rPr>
                <w:rStyle w:val="Style17"/>
                <w:rFonts w:eastAsia="Calibri" w:cs="Times New Roman" w:ascii="Times New Roman" w:hAnsi="Times New Roman"/>
                <w:b/>
                <w:kern w:val="0"/>
                <w:sz w:val="16"/>
                <w:szCs w:val="16"/>
                <w:lang w:val="ru-RU" w:eastAsia="en-US" w:bidi="ar-SA"/>
              </w:rPr>
              <w:footnoteReference w:id="4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Таблица по объекту №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en-US" w:eastAsia="en-US" w:bidi="ar-SA"/>
        </w:rPr>
        <w:t>{{table_number}}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(внутренний номер информационной системы)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Название автомобильной дороги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0"/>
          <w:szCs w:val="20"/>
          <w:lang w:val="en-US" w:eastAsia="en-US" w:bidi="ar-SA"/>
        </w:rPr>
        <w:t>{{road_name}}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Адрес участка, км </w:t>
      </w:r>
      <w:r>
        <w:rPr>
          <w:rFonts w:cs="Times New Roman" w:ascii="Times New Roman" w:hAnsi="Times New Roman"/>
          <w:sz w:val="20"/>
          <w:szCs w:val="20"/>
          <w:lang w:val="en-US"/>
        </w:rPr>
        <w:t>{{adress}}</w:t>
      </w:r>
    </w:p>
    <w:p>
      <w:pPr>
        <w:pStyle w:val="Normal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Характерный период: </w:t>
      </w:r>
      <w:r>
        <w:rPr>
          <w:rFonts w:cs="Times New Roman" w:ascii="Times New Roman" w:hAnsi="Times New Roman"/>
          <w:i/>
          <w:sz w:val="20"/>
          <w:szCs w:val="20"/>
        </w:rPr>
        <w:t xml:space="preserve">(весна-лето-осень-зима) 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>{{season}}</w:t>
      </w:r>
    </w:p>
    <w:p>
      <w:pPr>
        <w:pStyle w:val="Normal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shd w:fill="FFFFFF" w:val="clear"/>
                <w:lang w:val="ru-RU" w:eastAsia="en-US" w:bidi="ar-SA"/>
              </w:rPr>
              <w:t>Земляное полотно, полоса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color w:val="22272F"/>
                <w:sz w:val="20"/>
                <w:szCs w:val="20"/>
                <w:shd w:fill="FFFFFF" w:val="clear"/>
              </w:rPr>
            </w:pPr>
            <w:r>
              <w:rPr>
                <w:rFonts w:cs="Times New Roman" w:ascii="Times New Roman" w:hAnsi="Times New Roman"/>
                <w:b/>
                <w:bCs/>
                <w:color w:val="22272F"/>
                <w:sz w:val="20"/>
                <w:szCs w:val="20"/>
                <w:shd w:fill="FFFFFF" w:val="clear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5"/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6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повреждения (деформации и разрушения)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повреждений, разрушений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Необеспеченный водоотвод (застой воды)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воды в системе водоотвода, вызванное недостаточным или обратным поперечным уклоном, наличием деформаций и разрушений, нарушением работы системы водоотвода (дренажа, труб, водоотводных канав) или неудовлетворительной снегоуборкой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откосов насыпей и выемок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откосов в виде впадин, углублений, взбугриваний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системы водоотвода (водосбросы, дренажи, водоотводные канавы и др.)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Размытые, заиленные, заросшие травой или кустарником водоотводные сооружения. Необеспеченный продольный уклон, свободный пропуск воды у водоотводных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грязи, мусора на конструктивных элементах автомобильной дороги и (или) в полосе отвода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(дорожных материалов, изделий, конструкций и др.), не предусмотренных проектом организации дорожного движения и создающих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элементов обозначения границ полосы отвода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окраски и конструкции, ухудшение видимости элементов обозначения границ полосы отвода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Последствия обвалов, оползней, паводков, селевых потоков, пучин в результате несвоевременного проведения соответствующих мероприятий при содержании дороги</w:t>
            </w:r>
          </w:p>
        </w:tc>
        <w:tc>
          <w:tcPr>
            <w:tcW w:w="5032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посторонних предметов (осыпи камней, валунов, остатков деревьев и т.п.), представляющих угрозу жизни и здоровью участникам дорожного движения, за исключением чрезвычайных ситуаций</w:t>
            </w:r>
          </w:p>
        </w:tc>
        <w:tc>
          <w:tcPr>
            <w:tcW w:w="1133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47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Дорожная одежда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 с удалением материала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с удалением материала (выбоины, выкрашивание, шелушение, проломы, сколы кромок)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без удаления материала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Изменение продольного и поперечного профиля покрытия без удаления материала. Нарушение целостности покрытия с удалением материала (выбоины, выкрашивание, шелушение, проломы, сколы кромок, гребенка)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Просадки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покрытия в виде впадин с пологими краями, нередко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Выбоины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покрытия в виде углублений разной формы с резко выраженными краями (более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Выкрашивание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дорожного покрытия за счет потери зерен минерального материала (менее 3 см глубиной и 200 кв. см по площади)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Шелушение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поверхности покрытия за счет отслаивания тонких пленок и чешуек материала, разрушаемого под действием воды и мороза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Проломы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Полное разрушение дорожной одежды на всю её толщину с резким искажением поперечного профиля, сопровождающееся сеткой трещин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Сколы кромок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кромок швов и углов плит цементобетонных покрытий, разрушение кромок дорожных покрытий нежесткого типа в местах сопряжения их с обочинами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Необработанные места выпотевания вяжущего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Излишек вяжущего на поверхности покрытия с изменением его текстуры и цвета, площадью более 1 кв. м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профиля, гребенка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lang w:val="ru-RU" w:bidi="ar-SA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профиля в виде впадин, углублений, взбугриваний, разрушение покрытий из щебня, гравия и грунта в виде поперечных выступов и углублений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покрытия без удаления материала с образованием узких щелей. Трещины произвольного очертания и расположения с шириной раскрытия более 3 мм на покрытии проезжей части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Разрушенные и не заполненные мастикой деформационные швы на цементобетонном покрытии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наличие посторонних включений, разрушение самих швов и покрытий около них, наличие и состояние деталей крепления и элементов швов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Колейность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Искажение поперечного профиля покрытия вдоль полос наката, нередко сопровождающееся продольными трещинами и сеткой трещин (глубина до 30 мм) с образованием углублений по полосам наката с гребнями или без гребней выпора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дорожной одежды на участках с пучинистыми и слабыми грунтами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целостности дорожной одежды до 50 </w:t>
            </w:r>
            <w:r>
              <w:rPr/>
              <w:drawing>
                <wp:inline distT="0" distB="0" distL="0" distR="0">
                  <wp:extent cx="209550" cy="257175"/>
                  <wp:effectExtent l="0" t="0" r="0" b="0"/>
                  <wp:docPr id="1" name="Рисунок 1" descr="https://base.garant.ru/files/base/70192702/29628066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base.garant.ru/files/base/70192702/29628066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, с выдавливанием грунта на поверхность или взбугриванием покрытия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Полосы загрязнения у кромок покрытия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загрязнения покрытия из пыли, грязи и мусора у кромок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Посторонние предметы на проезжей части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на проезжей части посторонних предметов, дорожных материалов, изделий, конструкций, не обозначенных соответствующими техническими средствами организации дорожного движения (дорожные знаки, ограждения и др.) и создающие предпосылки для возникновения дорожно-транспортных происшествий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>
          <w:trHeight w:val="562" w:hRule="atLeast"/>
        </w:trPr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М</w:t>
            </w: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остовые сооружения (мостовое полотно)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мостового полотна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покрытия мостовых сооружений вдоль тротуаров и ограждений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Застой воды на проезжей части и тротуарах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Покрытие проезжей части и тротуаров не имеет уклонов к водоотводным устройствам, вода не сбрасывается водоотводными устройствами за пределы сооружения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в покрытии тротуаров, проломы в тротуарных плитах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Местные разрушения покрытия тротуара в виде углублений разной формы с резко выраженными краями, сквозные локальные проломы (разрушения) тротуарных плит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Засорение водоотводных трубок и окон в тротуарных блоках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Разрушение конструкции и засорение, наличие мусора, снега и льда на водоотводных лотках перед мостом, под деформационными швами и водоотводными трубками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Ограждения проезжей части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металлического барьерного ограждения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Высота ограждений не соответствует нормам, стойки и компенсаторы деформированы, отсутствуют световозвращающие элементы (катафоты), болтовые соединения барьерного ограждения отсутствуют, не закреплены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Перильные ограждения тротуаров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Повреждения отдельных секций перил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Механические повреждения стоек по высоте или в местах крепления, а также повреждение окраски поручня или решетки в отдельных секциях мостовых и перильных ограждений. Перильные ограждения 1,10 м, плоскость перильного ограждения не вертикальна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Деформационные швы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Трещины в покрытии над деформационными швами, протечки в деформационных швах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герметичности деформационных швов под воздействием динамических нагрузок от транспортных средств. Засорение пазов для перемещения листов в деформационных швах перекрытого типа. Засорение резинового заполнителя, а также его разрывы и иные повреждения. Засорение зазора и отсутствие резино-битумной мастики в швах мастичного типа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464C55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 w:themeColor="text1"/>
                <w:kern w:val="0"/>
                <w:sz w:val="20"/>
                <w:szCs w:val="20"/>
                <w:lang w:val="ru-RU" w:eastAsia="ru-RU" w:bidi="ar-SA"/>
              </w:rPr>
              <w:t>Пролетные строения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 насадок опор, опорных частей, лестничных сходов, перил и ограждений безопасности на мостовых сооружениях и подходах к ним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Загрязнение, растительность, мох, снежно-ледяная масса в местах установки опорных узлов между пролетными строениями, опорами и насадками опор, лестничных сходов, перил и ограждений безопасности на мостовых сооружениях и на подходах к ним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Мусор, загрязнение, растительность на пролетных строениях, конусах, под тротуарными блоками, загрязнение подмостовой зоны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мусора, загрязнений, мха, древесно-кустарниковой растительности, лишний грунт и трава на конусах, посторонние предметы в подмостовой зоне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болтов и заклепок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потеря крепежной способности (ржавые, не затянутые и т.п.) болтовых и заклепочных соединений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Подмостовая зона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поверхностей и структуры отдельных элементов конструкции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Одиночные сколы бетона без обнажения арматуры, одиночные трещины и швы раскрытием более 0,3 мм, сколы бетона с обнажением арматуры, сколы и иные повреждения защитного слоя бетона, одиночные подтеки на наружных поверхностях пролетных строений и опор (в металлических конструкциях повреждение окрасочного слоя на отдельных участках без коррозии металла), ненадлежащее состояние соединения стальных балок с железобетонными плитами и фермами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Тоннели, галереи, пешеходные переходы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Локальные повреждения обделки тоннеля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гидроизоляции, наличие сколов, трещин, выщелачивания, вымывания породы и раствора, образование наледей на стенах и сводах тоннелей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Оползание грунта над порталами тоннеля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водоотвода, целостности укрепительных сооружений, отсутствие либо неработоспособное состояние противоэрозионного озеленения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надземных (подземных) пешеходных переходов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Загрязнения и повреждения кровли и стен крытых надземных (подземных) пешеходных переходов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Подпорные стенки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  <w:r>
              <w:rPr>
                <w:rStyle w:val="Style17"/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footnoteReference w:id="7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Повреждение конструкции подпорных стенок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кладки, повреждение штукатурки и окраски, трещины, нарушение целостности обвязки, герметичности деформационных швов подпорных стенок, отклонение от проектных отметок в вертикальной плоскости, засорение (разрушение) дренажных окон, трубок и пр.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Подмывы и размывы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Не обеспечен водоотвод, водоотводные лотки загрязнены, наличие деревьев и кустарниковой растительности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8"/>
        <w:gridCol w:w="5032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22272F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22272F"/>
                <w:kern w:val="0"/>
                <w:sz w:val="20"/>
                <w:szCs w:val="20"/>
                <w:lang w:val="ru-RU" w:eastAsia="ru-RU" w:bidi="ar-SA"/>
              </w:rPr>
              <w:t>Очистные сооружения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33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Мусор и посторонние предметы</w:t>
            </w:r>
          </w:p>
        </w:tc>
        <w:tc>
          <w:tcPr>
            <w:tcW w:w="503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мусора и посторонних предметов, находящихся в санитарной зоне очистных сооружений, водоподводящих и водоотводящих канавах (трубах), на приемных решетках, акватории буферной копани гидроботанических площадок и других конструктивных элементах очистного сооружения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Нарушение системы водоочистки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 или несвоевременная замена (предусмотренная технической и нормативной документацией) фильтрующих элементов и их наполнителей. Наличие протечек и наличие негерметичных стыков в конструкции очистных сооружений, наличие масляных и нефтяных пятен на поверхности воды на выходе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Иловые отложения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Скопление иловых отложений в канавах, прудах, отстойниках очистных сооружений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Растительность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не скошенной растительности в канавах, на санитарной территории, прудах и отстойниках очистных сооружений (кроме предусмотренной технической документацией)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конструктивных элементов очистных сооружений</w:t>
            </w:r>
          </w:p>
        </w:tc>
        <w:tc>
          <w:tcPr>
            <w:tcW w:w="50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деформация, разрушения и повреждения конструктивных элементов очистных сооружений (люков очистных сооружений, ограждений санитарной территории, откосов прудов и отстойников, электрооборудования и др.)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Style24"/>
        <w:rPr/>
      </w:pPr>
      <w:r>
        <w:rPr/>
      </w:r>
    </w:p>
    <w:tbl>
      <w:tblPr>
        <w:tblStyle w:val="a5"/>
        <w:tblW w:w="11341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1"/>
        <w:gridCol w:w="4959"/>
        <w:gridCol w:w="1133"/>
        <w:gridCol w:w="1277"/>
        <w:gridCol w:w="1561"/>
      </w:tblGrid>
      <w:tr>
        <w:trPr/>
        <w:tc>
          <w:tcPr>
            <w:tcW w:w="1134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0"/>
                <w:szCs w:val="20"/>
                <w:lang w:val="ru-RU" w:eastAsia="en-US" w:bidi="ar-SA"/>
              </w:rPr>
              <w:t>Элементы обустройства автомобильных дорог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Вид дефекта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Описание дефекта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Дата появления</w:t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Номер (№)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приложения</w:t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kern w:val="0"/>
                <w:sz w:val="18"/>
                <w:szCs w:val="18"/>
                <w:lang w:val="ru-RU" w:eastAsia="ru-RU" w:bidi="ar-SA"/>
              </w:rPr>
              <w:t>Статус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464C55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464C55"/>
                <w:sz w:val="18"/>
                <w:szCs w:val="18"/>
                <w:lang w:eastAsia="ru-RU"/>
              </w:rPr>
            </w:r>
          </w:p>
        </w:tc>
      </w:tr>
      <w:tr>
        <w:trPr/>
        <w:tc>
          <w:tcPr>
            <w:tcW w:w="24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знаков и табло с изменяющейся информацией. Дефекты табло с изменяющейся информацией, затрудняющие ее восприятие</w:t>
            </w:r>
          </w:p>
        </w:tc>
        <w:tc>
          <w:tcPr>
            <w:tcW w:w="49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(деформаций) знаков и элементов их крепления с нарушением символики, яркости элементов изображения, потеря световозвращающей способности и нормативной видимости</w:t>
            </w:r>
          </w:p>
        </w:tc>
        <w:tc>
          <w:tcPr>
            <w:tcW w:w="113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направляющих устройств (дорожных сигнальных столбиков, дорожных тумб, буферов и т.д.)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деформаций, трещин, сколов на поверхности, влияющих на безопасность дорожного движения. Необеспеченный световозвращающий эффект, затруднение восприятия, в том числе из-за неудовлетворительной и не своевременной снегоочистки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ограждений (в т.ч. пешеходных)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Отсутствие, деформация отдельных секций, стоек, болтов и др., дефекты крепления. Трещины и сколы на железобетонных конструкциях. Отсутствие антикоррозионного покрытия, наличие коррозии на поверхности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светофоров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видимых повреждений и разрушений колонок, козырьков, рассеивателей, отражателей, равно как их отсутствие. Недостаточная распознаваемость сигналов (от 100 метров и более), а также символов, наносимых на рассеиватели (от 50 м и более). Применение нестандартных элементов, снижающих эксплуатационные показатели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Отдельные выбоины на покрытии тротуаров, пешеходных и велосипедных дорожек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деформации и разрушений на покрытии тротуаров, пешеходных и велосипедных дорожек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дорожных зеркал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трещин и сколов, неправильный угол обзора, затрудняющий видимость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Видимые повреждения бордюров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разрушений и сколов открытой поверхности бордюров, занижений (высотой менее 15 см от уровня проезжей части до верхней плоскости), отсутствие линий вертикальной разметки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стоек дорожных знаков (П, Г и Т-образные опоры)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Отклонение от вертикальной оси более чем на 5 градусов, наличие повреждений и открытой коррозии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остановочных пунктов общественного транспорта, площадок отдыха, площадок для остановки и кратковременной стоянки транспортных средств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75" w:after="75"/>
              <w:ind w:left="75" w:right="75" w:hanging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Наличие повреждений конструкции павильона, урн, скамеек, информационных табличек и т.д.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Деформации и разрушения покрытия посадочных площадок, площадок отдыха и мест стоянок автомобилей, наличие на них посторонних предметов, грязи, мусора, а также зимней скользкости, не обработанной противогололедными материалами, отсутствие мусоросборников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4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Дефекты линий наружного электроосвещения</w:t>
            </w:r>
          </w:p>
        </w:tc>
        <w:tc>
          <w:tcPr>
            <w:tcW w:w="49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464C55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464C55"/>
                <w:kern w:val="0"/>
                <w:sz w:val="24"/>
                <w:szCs w:val="24"/>
                <w:lang w:val="ru-RU" w:eastAsia="ru-RU" w:bidi="ar-SA"/>
              </w:rPr>
              <w:t>Отказы в работе наружных осветительных установок, неисправные лампы, светильники, обрыв проводов, кабелей, поломка трансформаторов и других элементов электроосвещения, недостаточная освещенность конструктивных элементов автомобильной дороги, отклонение от вертикального состояния (более чем на 5 градусов), потеря несущей способности опор наружного электроосвещения, шелушение поверхности опор и др.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ПРИЛОЖЕНИЕ № ___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33637100"/>
    </w:sdtPr>
    <w:sdtContent>
      <w:p>
        <w:pPr>
          <w:pStyle w:val="Style31"/>
          <w:pBdr>
            <w:bottom w:val="single" w:sz="12" w:space="1" w:color="000000"/>
          </w:pBdr>
          <w:jc w:val="center"/>
          <w:rPr/>
        </w:pPr>
        <w:r>
          <w:rPr/>
        </w:r>
      </w:p>
      <w:p>
        <w:pPr>
          <w:pStyle w:val="Style31"/>
          <w:jc w:val="center"/>
          <w:rPr/>
        </w:pPr>
        <w:r>
          <w:rPr/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 xml:space="preserve">Документ «Автоматизированный деформационный отчет»  составлен  с помощью  программного продукта 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  <w:t>LRI  (Laitsef Road Inspector) ©</w:t>
        </w:r>
      </w:p>
      <w:p>
        <w:pPr>
          <w:pStyle w:val="Style31"/>
          <w:pBdr>
            <w:bottom w:val="single" w:sz="12" w:space="1" w:color="000000"/>
          </w:pBdr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  <w:p>
        <w:pPr>
          <w:pStyle w:val="Style31"/>
          <w:jc w:val="center"/>
          <w:rPr>
            <w:rFonts w:ascii="Times New Roman" w:hAnsi="Times New Roman" w:cs="Times New Roman"/>
            <w:color w:val="000000" w:themeColor="text1"/>
            <w:sz w:val="16"/>
            <w:szCs w:val="16"/>
          </w:rPr>
        </w:pPr>
        <w:r>
          <w:rPr>
            <w:rFonts w:cs="Times New Roman" w:ascii="Times New Roman" w:hAnsi="Times New Roman"/>
            <w:color w:val="000000" w:themeColor="text1"/>
            <w:sz w:val="16"/>
            <w:szCs w:val="16"/>
          </w:rPr>
        </w:r>
      </w:p>
    </w:sdtContent>
  </w:sdt>
  <w:p>
    <w:pPr>
      <w:pStyle w:val="Style31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rPr>
          <w:rFonts w:ascii="Times New Roman" w:hAnsi="Times New Roman" w:cs="Times New Roman"/>
          <w:i/>
          <w:i/>
        </w:rPr>
      </w:pPr>
      <w:r>
        <w:rPr>
          <w:rStyle w:val="Style20"/>
        </w:rPr>
        <w:footnoteRef/>
      </w:r>
      <w:r>
        <w:rPr/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i/>
        </w:rPr>
        <w:t xml:space="preserve">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4. Оценка уровня содержания автомобильных дорог проводится с целью: получения информации о фактическом уровне содержания автомобильных дорог и использования данной информации для целей управления качеством содержания автомобильных дорог; определения уровня содержания автомобильных дорог, на основании которого в соответствии с условиями контракта на содержание автомобильных дорог, заключенного между Заказчиком и Исполнителем, принимается решение о величине оплаты выполненных работ, применении или неприменении к Исполнителю мер ответственности за несоблюдение условий контракта в части выполнения таких видов работ.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18. Уровень содержания участка автомобильной дороги определяется посредством визуального осмотра каждого конструктивного элемента и составляющих конструктивного элемента автомобильной дороги. При наличии разногласий при проведении оценки уровня содержания между Заказчиком и Исполнителем выполняют инструментальные измерения с фиксацией обнаруженных дефектов с целью определения величины отклонения от показателей настоящего Порядка.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Пункт 20. В процессе оценки Заказчик на каждом километре автомобильной дороги фиксирует дефекты содержания по конструктивным элементам и их составляющим с указанием параметров этих дефектов.</w:t>
      </w:r>
    </w:p>
  </w:footnote>
  <w:footnote w:id="3">
    <w:p>
      <w:pPr>
        <w:pStyle w:val="Style28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 xml:space="preserve">Примечание: 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Каждому объекту длинной в 500 метров  информационной системой  присваивается внутренний номер.</w:t>
      </w:r>
    </w:p>
    <w:p>
      <w:pPr>
        <w:pStyle w:val="Style28"/>
        <w:rPr>
          <w:rFonts w:ascii="Times New Roman" w:hAnsi="Times New Roman" w:cs="Times New Roman"/>
          <w:sz w:val="16"/>
          <w:szCs w:val="16"/>
        </w:rPr>
      </w:pPr>
      <w:r>
        <w:rPr/>
      </w:r>
    </w:p>
  </w:footnote>
  <w:footnote w:id="4">
    <w:p>
      <w:pPr>
        <w:pStyle w:val="Style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Style20"/>
        </w:rPr>
        <w:footnoteRef/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</w:p>
    <w:p>
      <w:pPr>
        <w:pStyle w:val="Style2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Автоматическая фиксация деформаций с классификацией по ГОСТ 32825-2014 Дороги автомобильные общего пользования. Дорожные покрытия. Методы измерения геометрических размеров повреждений.</w:t>
      </w:r>
    </w:p>
  </w:footnote>
  <w:footnote w:id="5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b/>
          <w:i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/>
      </w:pPr>
      <w:r>
        <w:rPr>
          <w:rFonts w:cs="Times New Roman" w:ascii="Times New Roman" w:hAnsi="Times New Roman"/>
          <w:sz w:val="16"/>
          <w:szCs w:val="16"/>
        </w:rPr>
        <w:t>Фотографии обнаруженной деформации, ее описание (длина, ширина).</w:t>
      </w:r>
    </w:p>
  </w:footnote>
  <w:footnote w:id="6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  <w:footnote w:id="7">
    <w:p>
      <w:pPr>
        <w:pStyle w:val="Style28"/>
        <w:widowControl w:val="false"/>
        <w:rPr>
          <w:rFonts w:ascii="Times New Roman" w:hAnsi="Times New Roman" w:cs="Times New Roman"/>
          <w:b/>
          <w:b/>
          <w:i/>
          <w:i/>
          <w:sz w:val="16"/>
          <w:szCs w:val="16"/>
        </w:rPr>
      </w:pPr>
      <w:r>
        <w:rPr>
          <w:rStyle w:val="Style20"/>
        </w:rPr>
        <w:footnoteRef/>
      </w:r>
      <w:r>
        <w:rPr>
          <w:sz w:val="16"/>
          <w:szCs w:val="16"/>
        </w:rPr>
        <w:t xml:space="preserve"> </w:t>
      </w:r>
      <w:r>
        <w:rPr>
          <w:rFonts w:cs="Times New Roman" w:ascii="Times New Roman" w:hAnsi="Times New Roman"/>
          <w:b/>
          <w:i/>
          <w:sz w:val="16"/>
          <w:szCs w:val="16"/>
        </w:rPr>
        <w:t>Примечание:</w:t>
      </w:r>
    </w:p>
    <w:p>
      <w:pPr>
        <w:pStyle w:val="Style28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При проверке обнаружено / не обнаружено.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98997360"/>
    </w:sdtPr>
    <w:sdtContent>
      <w:p>
        <w:pPr>
          <w:pStyle w:val="Style30"/>
          <w:pBdr>
            <w:bottom w:val="single" w:sz="4" w:space="1" w:color="D9D9D9"/>
          </w:pBdr>
          <w:jc w:val="right"/>
          <w:rPr>
            <w:b/>
            <w:b/>
            <w:bCs/>
          </w:rPr>
        </w:pPr>
        <w:r>
          <w:rPr>
            <w:color w:val="808080" w:themeColor="background1" w:themeShade="80"/>
            <w:spacing w:val="60"/>
          </w:rPr>
          <w:t>Страница</w:t>
        </w:r>
        <w:r>
          <w:rPr/>
          <w:t xml:space="preserve"> |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0</w:t>
        </w:r>
        <w:r>
          <w:rPr>
            <w:b/>
            <w:bCs/>
          </w:rPr>
          <w:fldChar w:fldCharType="end"/>
        </w:r>
      </w:p>
    </w:sdtContent>
  </w:sdt>
  <w:p>
    <w:pPr>
      <w:pStyle w:val="Style3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3c9e"/>
    <w:rPr>
      <w:rFonts w:ascii="Tahoma" w:hAnsi="Tahoma" w:cs="Tahoma"/>
      <w:sz w:val="16"/>
      <w:szCs w:val="16"/>
    </w:rPr>
  </w:style>
  <w:style w:type="character" w:styleId="Style15">
    <w:name w:val="Интернет-ссылка"/>
    <w:basedOn w:val="DefaultParagraphFont"/>
    <w:uiPriority w:val="99"/>
    <w:unhideWhenUsed/>
    <w:rsid w:val="0001623b"/>
    <w:rPr>
      <w:color w:val="0000FF" w:themeColor="hyperlink"/>
      <w:u w:val="single"/>
    </w:rPr>
  </w:style>
  <w:style w:type="character" w:styleId="Style16" w:customStyle="1">
    <w:name w:val="Текст сноски Знак"/>
    <w:basedOn w:val="DefaultParagraphFont"/>
    <w:link w:val="a7"/>
    <w:uiPriority w:val="99"/>
    <w:semiHidden/>
    <w:qFormat/>
    <w:rsid w:val="00474f80"/>
    <w:rPr>
      <w:sz w:val="20"/>
      <w:szCs w:val="20"/>
    </w:rPr>
  </w:style>
  <w:style w:type="character" w:styleId="Style17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74f80"/>
    <w:rPr>
      <w:vertAlign w:val="superscript"/>
    </w:rPr>
  </w:style>
  <w:style w:type="character" w:styleId="Style18" w:customStyle="1">
    <w:name w:val="Верхний колонтитул Знак"/>
    <w:basedOn w:val="DefaultParagraphFont"/>
    <w:link w:val="aa"/>
    <w:uiPriority w:val="99"/>
    <w:qFormat/>
    <w:rsid w:val="00b75032"/>
    <w:rPr/>
  </w:style>
  <w:style w:type="character" w:styleId="Style19" w:customStyle="1">
    <w:name w:val="Нижний колонтитул Знак"/>
    <w:basedOn w:val="DefaultParagraphFont"/>
    <w:link w:val="ac"/>
    <w:uiPriority w:val="99"/>
    <w:qFormat/>
    <w:rsid w:val="00b75032"/>
    <w:rPr/>
  </w:style>
  <w:style w:type="character" w:styleId="Style20">
    <w:name w:val="Символ сноски"/>
    <w:qFormat/>
    <w:rPr/>
  </w:style>
  <w:style w:type="character" w:styleId="Style21">
    <w:name w:val="Привязка концевой сноски"/>
    <w:rPr>
      <w:vertAlign w:val="superscript"/>
    </w:rPr>
  </w:style>
  <w:style w:type="character" w:styleId="Style22">
    <w:name w:val="Символ концевой сноск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Mangal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3c9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8">
    <w:name w:val="Footnote Text"/>
    <w:basedOn w:val="Normal"/>
    <w:link w:val="a8"/>
    <w:uiPriority w:val="99"/>
    <w:semiHidden/>
    <w:unhideWhenUsed/>
    <w:rsid w:val="00474f80"/>
    <w:pPr>
      <w:spacing w:lineRule="auto" w:line="240" w:before="0" w:after="0"/>
    </w:pPr>
    <w:rPr>
      <w:sz w:val="20"/>
      <w:szCs w:val="20"/>
    </w:rPr>
  </w:style>
  <w:style w:type="paragraph" w:styleId="Style29">
    <w:name w:val="Колонтитул"/>
    <w:basedOn w:val="Normal"/>
    <w:qFormat/>
    <w:pPr/>
    <w:rPr/>
  </w:style>
  <w:style w:type="paragraph" w:styleId="Style30">
    <w:name w:val="Header"/>
    <w:basedOn w:val="Normal"/>
    <w:link w:val="ab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1">
    <w:name w:val="Footer"/>
    <w:basedOn w:val="Normal"/>
    <w:link w:val="ad"/>
    <w:uiPriority w:val="99"/>
    <w:unhideWhenUsed/>
    <w:rsid w:val="00b7503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ba6f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A1A55-030F-4BA2-A4B7-F14F938AB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LibreOffice/7.2.2.2$Windows_X86_64 LibreOffice_project/02b2acce88a210515b4a5bb2e46cbfb63fe97d56</Application>
  <AppVersion>15.0000</AppVersion>
  <Pages>10</Pages>
  <Words>2033</Words>
  <Characters>14805</Characters>
  <CharactersWithSpaces>16741</CharactersWithSpaces>
  <Paragraphs>234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2021-06-16T10:03:00Z</dcterms:created>
  <dc:creator>ОМС</dc:creator>
  <dc:description/>
  <dc:language>ru-RU</dc:language>
  <cp:lastModifiedBy/>
  <dcterms:modified xsi:type="dcterms:W3CDTF">2021-11-21T17:17:01Z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