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Автоматизированный деформационный отчет №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{{report_num}}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Составлен: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город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{{city}}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время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{{time}}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дата {{date}}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кем (место работы, должность):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{{whos}},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{{position}}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статьей 17  Федерального закона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Постановлением Правительства РФ от 26.10.2020 N 1737 "Об утверждении Правил ремонта и содержания автомобильных дорог общего пользования федерального значения";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Минтранса РФ от 8 июня 2012 г. N 163 "Об утверждении Порядка проведения оценки уровня содержания автомобильных дорог общего пользования федерального значения" Приложение. Порядок проведения оценки уровня содержания автомобильных дорог общего пользования федерального значения</w:t>
      </w:r>
      <w:r>
        <w:rPr>
          <w:rStyle w:val="Style17"/>
          <w:rFonts w:cs="Times New Roman" w:ascii="Times New Roman" w:hAnsi="Times New Roman"/>
          <w:sz w:val="24"/>
          <w:szCs w:val="24"/>
        </w:rPr>
        <w:footnoteReference w:id="2"/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"ТР ТС 014/2011. Технический регламент Таможенного союза. Безопасность автомобильных дорог")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Общая таблица </w:t>
      </w:r>
    </w:p>
    <w:tbl>
      <w:tblPr>
        <w:tblStyle w:val="a5"/>
        <w:tblpPr w:bottomFromText="0" w:horzAnchor="margin" w:leftFromText="180" w:rightFromText="180" w:tblpX="0" w:tblpY="136" w:topFromText="0" w:vertAnchor="text"/>
        <w:tblW w:w="96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4961"/>
        <w:gridCol w:w="1417"/>
        <w:gridCol w:w="241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по списку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Участок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(адрес: страна, субъект, улица, либо км. а также внутренний номер информационной системы  по объекту в 500 метров</w:t>
            </w:r>
            <w:r>
              <w:rPr>
                <w:rStyle w:val="Style17"/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footnoteReference w:id="3"/>
            </w: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Дата появления дефекта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Вид дефекта</w:t>
            </w:r>
            <w:r>
              <w:rPr>
                <w:rStyle w:val="Style17"/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footnoteReference w:id="4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по объекту №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{{table_number}}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(внутренний номер информационной системы)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Название автомобильной дороги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n-US" w:eastAsia="en-US" w:bidi="ar-SA"/>
        </w:rPr>
        <w:t>{{road_name}}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Адрес участка, км </w:t>
      </w:r>
      <w:r>
        <w:rPr>
          <w:rFonts w:cs="Times New Roman" w:ascii="Times New Roman" w:hAnsi="Times New Roman"/>
          <w:sz w:val="20"/>
          <w:szCs w:val="20"/>
          <w:lang w:val="en-US"/>
        </w:rPr>
        <w:t>{{adress}}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Характерный период: </w:t>
      </w:r>
      <w:r>
        <w:rPr>
          <w:rFonts w:cs="Times New Roman" w:ascii="Times New Roman" w:hAnsi="Times New Roman"/>
          <w:i/>
          <w:sz w:val="20"/>
          <w:szCs w:val="20"/>
        </w:rPr>
        <w:t xml:space="preserve">(весна-лето-осень-зима) 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>{{season}}</w:t>
      </w:r>
    </w:p>
    <w:p>
      <w:pPr>
        <w:pStyle w:val="Normal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shd w:fill="FFFFFF" w:val="clear"/>
                <w:lang w:val="ru-RU" w:eastAsia="en-US" w:bidi="ar-SA"/>
              </w:rPr>
              <w:t>Земляное полотно, полоса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5"/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6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повреждения (деформации и разрушения)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повреждений, разрушений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Необеспеченный водоотвод (застой воды)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воды в системе водоотвода, вызванное недостаточным или обратным поперечным уклоном, наличием деформаций и разрушений, нарушением работы системы водоотвода (дренажа, труб, водоотводных канав) или неудовлетворительной снегоуборкой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откосов насыпей и выемок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откосов в виде впадин, углублений, взбугриваний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системы водоотвода (водосбросы, дренажи, водоотводные канавы и др.)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Размытые, заиленные, заросшие травой или кустарником водоотводные сооружения. Необеспеченный продольный уклон, свободный пропуск воды у водоотводных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грязи, мусора на конструктивных элементах автомобильной дороги и (или) в полосе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(дорожных материалов, изделий, конструкций и др.), не предусмотренных проектом организации дорожного движения и создающих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элементов обозначения границ полосы отвода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окраски и конструкции, ухудшение видимости элементов обозначения границ полосы отвода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Последствия обвалов, оползней, паводков, селевых потоков, пучин в результате несвоевременного проведения соответствующих мероприятий при содержании дороги</w:t>
            </w:r>
          </w:p>
        </w:tc>
        <w:tc>
          <w:tcPr>
            <w:tcW w:w="503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(осыпи камней, валунов, остатков деревьев и т.п.), представляющих угрозу жизни и здоровью участникам дорожного движения, за исключением чрезвычайных ситуаций</w:t>
            </w:r>
          </w:p>
        </w:tc>
        <w:tc>
          <w:tcPr>
            <w:tcW w:w="113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47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Дорожная одежда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 с удалением материала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с удалением материала (выбоины, выкрашивание, шелушение, проломы, сколы кромок)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без удаления материала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Изменение продольного и поперечного профиля покрытия без удаления материала. Нарушение целостности покрытия с удалением материала (выбоины, выкрашивание, шелушение, проломы, сколы кромок, гребенка)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Просадки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Выбоины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Выкрашивание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Шелушение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Проломы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Сколы кромок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кромок швов и углов плит 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Необработанные места выпотевания вяжущего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профиля, гребенка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в виде впадин, углублений, взбугриваний, разрушение покрытий из щебня, гравия и грунта в виде поперечных выступов и углублений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Колейность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дорожной одежды на участках с пучинистыми и слабыми грунтами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дорожной одежды до 50 </w:t>
            </w:r>
            <w:r>
              <w:rPr/>
              <w:drawing>
                <wp:inline distT="0" distB="0" distL="0" distR="0">
                  <wp:extent cx="209550" cy="257175"/>
                  <wp:effectExtent l="0" t="0" r="0" b="0"/>
                  <wp:docPr id="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, с выдавливанием грунта на поверхность или взбугриванием покрытия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Полосы загрязнения у кромок покрытия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загрязнения покрытия из пыли, грязи и мусора у кромок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Посторонние предметы на проезжей части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62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М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остовые сооружения (мостовое полотно)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мостового полотна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Застой воды на проезжей части и тротуарах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Ограждения проезжей части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металлического барьерного ограждения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Высота ограждений не соответствует нормам, стойки и компенсаторы деформированы, отсутствуют световозвращающие элементы (катафоты), болтовые соединения барьерного ограждения отсутствуют, не закреплены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Перильные ограждения тротуаров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перил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Механические повреждения стоек по высоте или в местах крепления, а также повреждение окраски поручня или решетки в отдельных секциях мостовых и перильных ограждений. Перильные ограждения 1,10 м, плоскость перильного ограждения не вертикальна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Деформационные швы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 в покрытии над деформационными швами, протечки в деформационных швах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герметичности деформационных швов под воздействием динамических нагрузок от транспортных средств. Засорение пазов для перемещения листов в деформационных швах перекрытого типа. Засорение резинового заполнителя, а также его разрывы и иные повреждения. Засорение зазора и отсутствие резино-битумной мастики в швах мастичного типа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64C55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0"/>
                <w:szCs w:val="20"/>
                <w:lang w:val="ru-RU" w:eastAsia="ru-RU" w:bidi="ar-SA"/>
              </w:rPr>
              <w:t>Пролетные строения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Мусор, загрязнение, растительность на пролетных строениях, конусах, под тротуарными блоками, загрязнение подмостовой зоны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мусора, загрязнений, мха, древесно-кустарниковой растительности, лишний грунт и трава на конусах, посторонние предметы в подмостовой зоне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болтов и заклепок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потеря крепежной способности (ржавые, не затянутые и т.п.) болтовых и заклепочных соединений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Подмостовая зона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поверхностей и структуры отдельных элементов конструкции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Одиночные сколы бетона без обнажения арматуры, одиночные трещины и швы раскрытием более 0,3 мм, сколы бетона с обнажением арматуры, сколы и иные повреждения защитного слоя бетона, одиночные подтеки на наружных поверхностях пролетных строений и опор (в металлических конструкциях повреждение окрасочного слоя на отдельных участках без коррозии металла), ненадлежащее состояние соединения стальных балок с железобетонными плитами и фермами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Тоннели, галереи, пешеходные переходы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Локальные повреждения обделки тоннеля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Оползание грунта над порталами тоннеля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Подпорные стенки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7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конструкции подпорных стенок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Подмывы и размывы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Очистные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гидроботанических площадок и других конструктивных элементах очистного сооружения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водоочистки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Иловые отложения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Растительность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не скошенной растительности в канавах, на санитарной территории, прудах и отстойниках очистных сооружений (кроме предусмотренной технической документацией)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конструктивных элементов очистных сооружений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деформация, разрушения и повреждения конструктивных элементов очистных сооружений (люков очистных сооружений, ограждений санитарной территории, откосов прудов и отстойников, электрооборудования и др.)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4959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Элементы обустройства автомобильных дорог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знаков и табло с изменяющейся информацией. Дефекты табло с изменяющейся информацией, затрудняющие ее восприятие</w:t>
            </w: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(деформаций) знаков и элементов их крепления с нарушением символики, яркости элементов изображения, потеря световозвращающей способности и нормативной видимости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деформаций, трещин, сколов на поверхности, влияющих на безопасность дорожного движения. Необеспеченный световозвращающий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ограждений (в т.ч. пешеходных)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 отдельных секций, стоек, болтов и др., дефекты крепления. Трещины и сколы на железобетонных конструкциях. Отсутствие антикоррозионного покрытия, наличие коррозии на поверхности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светофоров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видимых повреждений и разрушений колонок, козырьков, рассеивателей, отражателей, равно как их отсутствие. Недостаточная распознаваемость сигналов (от 100 метров и более), а также символов, наносимых на рассеиватели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на покрытии тротуаров, пешеходных и велосипедных дорожек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деформации и разрушений на покрытии тротуаров, пешеходных и велосипедных дорожек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зеркал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Видимые повреждения бордюров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стоек дорожных знаков (П, Г и Т-образные опоры)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остановочных пунктов общественного транспорта, площадок отдыха, площадок для остановки и кратковременной стоянки транспортных средств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конструкции павильона, урн, скамеек, информационных табличек и т.д.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покрытия посадочных площадок, площадок отдыха и мест стоянок автомобилей, наличие на них посторонних предметов, грязи, мусора, а также зимней скользкости, не обработанной противогололедными материалами, отсутствие мусоросборников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линий наружного электроосвещения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ПРИЛОЖЕНИЕ № ___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342938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  <w:p>
    <w:pPr>
      <w:pStyle w:val="Style3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rPr>
          <w:rFonts w:ascii="Times New Roman" w:hAnsi="Times New Roman" w:cs="Times New Roman"/>
          <w:i/>
          <w:i/>
        </w:rPr>
      </w:pPr>
      <w:r>
        <w:rPr>
          <w:rStyle w:val="Style20"/>
        </w:rPr>
        <w:footnoteRef/>
      </w:r>
      <w:r>
        <w:rPr/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4. Оценка уровня содержания автомобильных дорог проводится с целью: получения информации о фактическом уровне содержания автомобильных дорог и использования данной информации для целей управления качеством содержания автомобильных дорог; 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указанием параметров этих дефектов.</w:t>
      </w:r>
    </w:p>
  </w:footnote>
  <w:footnote w:id="3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Каждому объекту длинной в 500 метров  информационной системой  присваивается внутренний номер.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/>
      </w:r>
    </w:p>
  </w:footnote>
  <w:footnote w:id="4">
    <w:p>
      <w:pPr>
        <w:pStyle w:val="Style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  <w:footnote w:id="5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b/>
          <w:i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/>
      </w:pPr>
      <w:r>
        <w:rPr>
          <w:rFonts w:cs="Times New Roman" w:ascii="Times New Roman" w:hAnsi="Times New Roman"/>
          <w:sz w:val="16"/>
          <w:szCs w:val="16"/>
        </w:rPr>
        <w:t>Фотографии обнаруженной деформации, ее описание (длина, ширина).</w:t>
      </w:r>
    </w:p>
  </w:footnote>
  <w:footnote w:id="6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  <w:footnote w:id="7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66855525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0</w:t>
        </w:r>
        <w:r>
          <w:rPr>
            <w:b/>
            <w:bCs/>
          </w:rPr>
          <w:fldChar w:fldCharType="end"/>
        </w:r>
      </w:p>
    </w:sdtContent>
  </w:sdt>
  <w:p>
    <w:pPr>
      <w:pStyle w:val="Style3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LibreOffice/7.2.2.2$Windows_X86_64 LibreOffice_project/02b2acce88a210515b4a5bb2e46cbfb63fe97d56</Application>
  <AppVersion>15.0000</AppVersion>
  <Pages>10</Pages>
  <Words>2033</Words>
  <Characters>14805</Characters>
  <CharactersWithSpaces>16741</CharactersWithSpaces>
  <Paragraphs>234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2021-11-23T19:11:17Z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