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Azure Container Registry + Web App</w:t>
      </w:r>
    </w:p>
    <w:p>
      <w:pPr>
        <w:jc w:val="center"/>
      </w:pPr>
      <w:r>
        <w:rPr>
          <w:sz w:val="32"/>
        </w:rPr>
        <w:t>Easy Step-by-Step Lab Manual</w:t>
      </w:r>
    </w:p>
    <w:p>
      <w:pPr>
        <w:jc w:val="center"/>
      </w:pPr>
      <w:r>
        <w:rPr>
          <w:sz w:val="22"/>
        </w:rPr>
        <w:t>Create an ACR → Import a Container Image → Configure ACR Access → Create a Linux Web App</w:t>
      </w:r>
    </w:p>
    <w:p/>
    <w:tbl>
      <w:tblPr>
        <w:tblW w:type="auto" w:w="0"/>
        <w:jc w:val="center"/>
        <w:tblLook w:firstColumn="1" w:firstRow="1" w:lastColumn="0" w:lastRow="0" w:noHBand="0" w:noVBand="1" w:val="04A0"/>
      </w:tblPr>
      <w:tblGrid>
        <w:gridCol w:w="10224"/>
      </w:tblGrid>
      <w:tr>
        <w:tc>
          <w:tcPr>
            <w:tcW w:type="dxa" w:w="10224"/>
            <w:shd w:fill="E8F5E9"/>
          </w:tcPr>
          <w:p>
            <w:r>
              <w:rPr>
                <w:b/>
                <w:sz w:val="21"/>
              </w:rPr>
              <w:t>Lab goal</w:t>
              <w:br/>
            </w:r>
            <w:r>
              <w:rPr>
                <w:sz w:val="20"/>
              </w:rPr>
              <w:t>By the end of this lab, you will have an Azure Container Registry containing the az204:ecom image and a Linux Azure Web App configured to run that image.</w:t>
            </w:r>
          </w:p>
        </w:tc>
      </w:tr>
    </w:tbl>
    <w:p/>
    <w:p>
      <w:pPr>
        <w:pStyle w:val="Heading1"/>
      </w:pPr>
      <w:r>
        <w:t>What you will create</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Resource</w:t>
            </w:r>
          </w:p>
        </w:tc>
        <w:tc>
          <w:tcPr>
            <w:tcW w:type="dxa" w:w="3408"/>
            <w:vAlign w:val="center"/>
            <w:shd w:fill="D9EAF7"/>
          </w:tcPr>
          <w:p>
            <w:r/>
            <w:r>
              <w:rPr>
                <w:b/>
                <w:sz w:val="19"/>
              </w:rPr>
              <w:t>Value used in this lab</w:t>
            </w:r>
          </w:p>
        </w:tc>
        <w:tc>
          <w:tcPr>
            <w:tcW w:type="dxa" w:w="3408"/>
            <w:vAlign w:val="center"/>
            <w:shd w:fill="D9EAF7"/>
          </w:tcPr>
          <w:p>
            <w:r/>
            <w:r>
              <w:rPr>
                <w:b/>
                <w:sz w:val="19"/>
              </w:rPr>
              <w:t>Purpose</w:t>
            </w:r>
          </w:p>
        </w:tc>
      </w:tr>
      <w:tr>
        <w:tc>
          <w:tcPr>
            <w:tcW w:type="dxa" w:w="3408"/>
            <w:vAlign w:val="center"/>
          </w:tcPr>
          <w:p>
            <w:r/>
            <w:r>
              <w:rPr>
                <w:b w:val="0"/>
                <w:sz w:val="19"/>
              </w:rPr>
              <w:t>Resource Group</w:t>
            </w:r>
          </w:p>
        </w:tc>
        <w:tc>
          <w:tcPr>
            <w:tcW w:type="dxa" w:w="3408"/>
            <w:vAlign w:val="center"/>
          </w:tcPr>
          <w:p>
            <w:r/>
            <w:r>
              <w:rPr>
                <w:b w:val="0"/>
                <w:sz w:val="19"/>
              </w:rPr>
              <w:t>ResourceGroup1</w:t>
            </w:r>
          </w:p>
        </w:tc>
        <w:tc>
          <w:tcPr>
            <w:tcW w:type="dxa" w:w="3408"/>
            <w:vAlign w:val="center"/>
          </w:tcPr>
          <w:p>
            <w:r/>
            <w:r>
              <w:rPr>
                <w:b w:val="0"/>
                <w:sz w:val="19"/>
              </w:rPr>
              <w:t>Holds the lab resources</w:t>
            </w:r>
          </w:p>
        </w:tc>
      </w:tr>
      <w:tr>
        <w:tc>
          <w:tcPr>
            <w:tcW w:type="dxa" w:w="3408"/>
            <w:vAlign w:val="center"/>
          </w:tcPr>
          <w:p>
            <w:r/>
            <w:r>
              <w:rPr>
                <w:b w:val="0"/>
                <w:sz w:val="19"/>
              </w:rPr>
              <w:t>Container Registry</w:t>
            </w:r>
          </w:p>
        </w:tc>
        <w:tc>
          <w:tcPr>
            <w:tcW w:type="dxa" w:w="3408"/>
            <w:vAlign w:val="center"/>
          </w:tcPr>
          <w:p>
            <w:r/>
            <w:r>
              <w:rPr>
                <w:b w:val="0"/>
                <w:sz w:val="19"/>
              </w:rPr>
              <w:t>acr65006303</w:t>
            </w:r>
          </w:p>
        </w:tc>
        <w:tc>
          <w:tcPr>
            <w:tcW w:type="dxa" w:w="3408"/>
            <w:vAlign w:val="center"/>
          </w:tcPr>
          <w:p>
            <w:r/>
            <w:r>
              <w:rPr>
                <w:b w:val="0"/>
                <w:sz w:val="19"/>
              </w:rPr>
              <w:t>Stores container images</w:t>
            </w:r>
          </w:p>
        </w:tc>
      </w:tr>
      <w:tr>
        <w:tc>
          <w:tcPr>
            <w:tcW w:type="dxa" w:w="3408"/>
            <w:vAlign w:val="center"/>
          </w:tcPr>
          <w:p>
            <w:r/>
            <w:r>
              <w:rPr>
                <w:b w:val="0"/>
                <w:sz w:val="19"/>
              </w:rPr>
              <w:t>Login server</w:t>
            </w:r>
          </w:p>
        </w:tc>
        <w:tc>
          <w:tcPr>
            <w:tcW w:type="dxa" w:w="3408"/>
            <w:vAlign w:val="center"/>
          </w:tcPr>
          <w:p>
            <w:r/>
            <w:r>
              <w:rPr>
                <w:b w:val="0"/>
                <w:sz w:val="19"/>
              </w:rPr>
              <w:t>acr65006303.azurecr.io</w:t>
            </w:r>
          </w:p>
        </w:tc>
        <w:tc>
          <w:tcPr>
            <w:tcW w:type="dxa" w:w="3408"/>
            <w:vAlign w:val="center"/>
          </w:tcPr>
          <w:p>
            <w:r/>
            <w:r>
              <w:rPr>
                <w:b w:val="0"/>
                <w:sz w:val="19"/>
              </w:rPr>
              <w:t>Address used to access the registry</w:t>
            </w:r>
          </w:p>
        </w:tc>
      </w:tr>
      <w:tr>
        <w:tc>
          <w:tcPr>
            <w:tcW w:type="dxa" w:w="3408"/>
            <w:vAlign w:val="center"/>
          </w:tcPr>
          <w:p>
            <w:r/>
            <w:r>
              <w:rPr>
                <w:b w:val="0"/>
                <w:sz w:val="19"/>
              </w:rPr>
              <w:t>ACR SKU</w:t>
            </w:r>
          </w:p>
        </w:tc>
        <w:tc>
          <w:tcPr>
            <w:tcW w:type="dxa" w:w="3408"/>
            <w:vAlign w:val="center"/>
          </w:tcPr>
          <w:p>
            <w:r/>
            <w:r>
              <w:rPr>
                <w:b w:val="0"/>
                <w:sz w:val="19"/>
              </w:rPr>
              <w:t>Basic</w:t>
            </w:r>
          </w:p>
        </w:tc>
        <w:tc>
          <w:tcPr>
            <w:tcW w:type="dxa" w:w="3408"/>
            <w:vAlign w:val="center"/>
          </w:tcPr>
          <w:p>
            <w:r/>
            <w:r>
              <w:rPr>
                <w:b w:val="0"/>
                <w:sz w:val="19"/>
              </w:rPr>
              <w:t>Registry pricing tier required by the lab policy</w:t>
            </w:r>
          </w:p>
        </w:tc>
      </w:tr>
      <w:tr>
        <w:tc>
          <w:tcPr>
            <w:tcW w:type="dxa" w:w="3408"/>
            <w:vAlign w:val="center"/>
          </w:tcPr>
          <w:p>
            <w:r/>
            <w:r>
              <w:rPr>
                <w:b w:val="0"/>
                <w:sz w:val="19"/>
              </w:rPr>
              <w:t>Web App</w:t>
            </w:r>
          </w:p>
        </w:tc>
        <w:tc>
          <w:tcPr>
            <w:tcW w:type="dxa" w:w="3408"/>
            <w:vAlign w:val="center"/>
          </w:tcPr>
          <w:p>
            <w:r/>
            <w:r>
              <w:rPr>
                <w:b w:val="0"/>
                <w:sz w:val="19"/>
              </w:rPr>
              <w:t>app-docprocessor-65006303</w:t>
            </w:r>
          </w:p>
        </w:tc>
        <w:tc>
          <w:tcPr>
            <w:tcW w:type="dxa" w:w="3408"/>
            <w:vAlign w:val="center"/>
          </w:tcPr>
          <w:p>
            <w:r/>
            <w:r>
              <w:rPr>
                <w:b w:val="0"/>
                <w:sz w:val="19"/>
              </w:rPr>
              <w:t>Runs the container</w:t>
            </w:r>
          </w:p>
        </w:tc>
      </w:tr>
      <w:tr>
        <w:tc>
          <w:tcPr>
            <w:tcW w:type="dxa" w:w="3408"/>
            <w:vAlign w:val="center"/>
          </w:tcPr>
          <w:p>
            <w:r/>
            <w:r>
              <w:rPr>
                <w:b w:val="0"/>
                <w:sz w:val="19"/>
              </w:rPr>
              <w:t>App Service Plan</w:t>
            </w:r>
          </w:p>
        </w:tc>
        <w:tc>
          <w:tcPr>
            <w:tcW w:type="dxa" w:w="3408"/>
            <w:vAlign w:val="center"/>
          </w:tcPr>
          <w:p>
            <w:r/>
            <w:r>
              <w:rPr>
                <w:b w:val="0"/>
                <w:sz w:val="19"/>
              </w:rPr>
              <w:t>plan-docprocessor-65006303</w:t>
            </w:r>
          </w:p>
        </w:tc>
        <w:tc>
          <w:tcPr>
            <w:tcW w:type="dxa" w:w="3408"/>
            <w:vAlign w:val="center"/>
          </w:tcPr>
          <w:p>
            <w:r/>
            <w:r>
              <w:rPr>
                <w:b w:val="0"/>
                <w:sz w:val="19"/>
              </w:rPr>
              <w:t>Provides compute for the Web App</w:t>
            </w:r>
          </w:p>
        </w:tc>
      </w:tr>
      <w:tr>
        <w:tc>
          <w:tcPr>
            <w:tcW w:type="dxa" w:w="3408"/>
            <w:vAlign w:val="center"/>
          </w:tcPr>
          <w:p>
            <w:r/>
            <w:r>
              <w:rPr>
                <w:b w:val="0"/>
                <w:sz w:val="19"/>
              </w:rPr>
              <w:t>Plan SKU</w:t>
            </w:r>
          </w:p>
        </w:tc>
        <w:tc>
          <w:tcPr>
            <w:tcW w:type="dxa" w:w="3408"/>
            <w:vAlign w:val="center"/>
          </w:tcPr>
          <w:p>
            <w:r/>
            <w:r>
              <w:rPr>
                <w:b w:val="0"/>
                <w:sz w:val="19"/>
              </w:rPr>
              <w:t>Basic B1</w:t>
            </w:r>
          </w:p>
        </w:tc>
        <w:tc>
          <w:tcPr>
            <w:tcW w:type="dxa" w:w="3408"/>
            <w:vAlign w:val="center"/>
          </w:tcPr>
          <w:p>
            <w:r/>
            <w:r>
              <w:rPr>
                <w:b w:val="0"/>
                <w:sz w:val="19"/>
              </w:rPr>
              <w:t>Compute tier used by the lab policy</w:t>
            </w:r>
          </w:p>
        </w:tc>
      </w:tr>
      <w:tr>
        <w:tc>
          <w:tcPr>
            <w:tcW w:type="dxa" w:w="3408"/>
            <w:vAlign w:val="center"/>
          </w:tcPr>
          <w:p>
            <w:r/>
            <w:r>
              <w:rPr>
                <w:b w:val="0"/>
                <w:sz w:val="19"/>
              </w:rPr>
              <w:t>Container image</w:t>
            </w:r>
          </w:p>
        </w:tc>
        <w:tc>
          <w:tcPr>
            <w:tcW w:type="dxa" w:w="3408"/>
            <w:vAlign w:val="center"/>
          </w:tcPr>
          <w:p>
            <w:r/>
            <w:r>
              <w:rPr>
                <w:b w:val="0"/>
                <w:sz w:val="19"/>
              </w:rPr>
              <w:t>az204:ecom</w:t>
            </w:r>
          </w:p>
        </w:tc>
        <w:tc>
          <w:tcPr>
            <w:tcW w:type="dxa" w:w="3408"/>
            <w:vAlign w:val="center"/>
          </w:tcPr>
          <w:p>
            <w:r/>
            <w:r>
              <w:rPr>
                <w:b w:val="0"/>
                <w:sz w:val="19"/>
              </w:rPr>
              <w:t>Image imported into ACR</w:t>
            </w:r>
          </w:p>
        </w:tc>
      </w:tr>
      <w:tr>
        <w:tc>
          <w:tcPr>
            <w:tcW w:type="dxa" w:w="3408"/>
            <w:vAlign w:val="center"/>
          </w:tcPr>
          <w:p>
            <w:r/>
            <w:r>
              <w:rPr>
                <w:b w:val="0"/>
                <w:sz w:val="19"/>
              </w:rPr>
              <w:t>Container port</w:t>
            </w:r>
          </w:p>
        </w:tc>
        <w:tc>
          <w:tcPr>
            <w:tcW w:type="dxa" w:w="3408"/>
            <w:vAlign w:val="center"/>
          </w:tcPr>
          <w:p>
            <w:r/>
            <w:r>
              <w:rPr>
                <w:b w:val="0"/>
                <w:sz w:val="19"/>
              </w:rPr>
              <w:t>80</w:t>
            </w:r>
          </w:p>
        </w:tc>
        <w:tc>
          <w:tcPr>
            <w:tcW w:type="dxa" w:w="3408"/>
            <w:vAlign w:val="center"/>
          </w:tcPr>
          <w:p>
            <w:r/>
            <w:r>
              <w:rPr>
                <w:b w:val="0"/>
                <w:sz w:val="19"/>
              </w:rPr>
              <w:t>Port exposed by the container</w:t>
            </w:r>
          </w:p>
        </w:tc>
      </w:tr>
    </w:tbl>
    <w:p/>
    <w:tbl>
      <w:tblPr>
        <w:tblW w:type="auto" w:w="0"/>
        <w:jc w:val="center"/>
        <w:tblLook w:firstColumn="1" w:firstRow="1" w:lastColumn="0" w:lastRow="0" w:noHBand="0" w:noVBand="1" w:val="04A0"/>
      </w:tblPr>
      <w:tblGrid>
        <w:gridCol w:w="10224"/>
      </w:tblGrid>
      <w:tr>
        <w:tc>
          <w:tcPr>
            <w:tcW w:type="dxa" w:w="10224"/>
            <w:shd w:fill="FFF4E5"/>
          </w:tcPr>
          <w:p>
            <w:r>
              <w:rPr>
                <w:b/>
                <w:sz w:val="21"/>
              </w:rPr>
              <w:t>Important naming rule</w:t>
              <w:br/>
            </w:r>
            <w:r>
              <w:rPr>
                <w:sz w:val="20"/>
              </w:rPr>
              <w:t>The lab policy shown in the earlier screenshots expects ACR names beginning with 'acr' and App Service Plan names beginning with 'plan-docprocessor-'. If Azure creates a default plan such as ASP-ResourceGroup1-xxxx, do not use it; create a new plan with the required name.</w:t>
            </w:r>
          </w:p>
        </w:tc>
      </w:tr>
    </w:tbl>
    <w:p/>
    <w:p>
      <w:r>
        <w:br w:type="page"/>
      </w:r>
    </w:p>
    <w:p>
      <w:pPr>
        <w:pStyle w:val="Heading1"/>
      </w:pPr>
      <w:r>
        <w:t>Part 1 – Create the Azure Container Registry (ACR)</w:t>
      </w:r>
    </w:p>
    <w:p>
      <w:r>
        <w:t>The Container Registry is the place where the container image will be stored. In this lab we use ResourceGroup1, West US 2, and the Basic pricing plan.</w:t>
      </w:r>
    </w:p>
    <w:p>
      <w:pPr>
        <w:spacing w:before="100"/>
      </w:pPr>
      <w:r>
        <w:rPr>
          <w:b/>
          <w:sz w:val="25"/>
        </w:rPr>
        <w:t>Step 1: Open Create container registry</w:t>
      </w:r>
    </w:p>
    <w:p>
      <w:pPr>
        <w:spacing w:after="100"/>
      </w:pPr>
      <w:r>
        <w:t>In the Azure portal, open Container registries and select Create. On the Basics tab, select the subscription used by your lab and choose ResourceGroup1.</w:t>
      </w:r>
    </w:p>
    <w:p>
      <w:pPr>
        <w:jc w:val="center"/>
      </w:pPr>
      <w:r>
        <w:drawing>
          <wp:inline xmlns:a="http://schemas.openxmlformats.org/drawingml/2006/main" xmlns:pic="http://schemas.openxmlformats.org/drawingml/2006/picture">
            <wp:extent cx="5943600" cy="4702215"/>
            <wp:docPr id="1" name="Picture 1"/>
            <wp:cNvGraphicFramePr>
              <a:graphicFrameLocks noChangeAspect="1"/>
            </wp:cNvGraphicFramePr>
            <a:graphic>
              <a:graphicData uri="http://schemas.openxmlformats.org/drawingml/2006/picture">
                <pic:pic>
                  <pic:nvPicPr>
                    <pic:cNvPr id="0" name="ACR.png"/>
                    <pic:cNvPicPr/>
                  </pic:nvPicPr>
                  <pic:blipFill>
                    <a:blip r:embed="rId9"/>
                    <a:stretch>
                      <a:fillRect/>
                    </a:stretch>
                  </pic:blipFill>
                  <pic:spPr>
                    <a:xfrm>
                      <a:off x="0" y="0"/>
                      <a:ext cx="5943600" cy="4702215"/>
                    </a:xfrm>
                    <a:prstGeom prst="rect"/>
                  </pic:spPr>
                </pic:pic>
              </a:graphicData>
            </a:graphic>
          </wp:inline>
        </w:drawing>
      </w:r>
    </w:p>
    <w:p>
      <w:pPr>
        <w:jc w:val="center"/>
      </w:pPr>
      <w:r>
        <w:rPr>
          <w:i/>
          <w:sz w:val="17"/>
        </w:rPr>
        <w:t>Figure – Open Create container registry</w:t>
      </w:r>
    </w:p>
    <w:p>
      <w:pPr>
        <w:spacing w:before="100"/>
      </w:pPr>
      <w:r>
        <w:rPr>
          <w:b/>
          <w:sz w:val="25"/>
        </w:rPr>
        <w:t>Step 2: Enter the ACR basic settings</w:t>
      </w:r>
    </w:p>
    <w:p>
      <w:pPr>
        <w:spacing w:after="100"/>
      </w:pPr>
      <w:r>
        <w:t>Use the following values: Registry name = acr65006303, Location = West US 2, Domain name label scope = Unsecure, and Pricing plan = Basic. Leave Availability zones disabled.</w:t>
      </w:r>
    </w:p>
    <w:p>
      <w:pPr>
        <w:jc w:val="center"/>
      </w:pPr>
      <w:r>
        <w:drawing>
          <wp:inline xmlns:a="http://schemas.openxmlformats.org/drawingml/2006/main" xmlns:pic="http://schemas.openxmlformats.org/drawingml/2006/picture">
            <wp:extent cx="5943600" cy="4702215"/>
            <wp:docPr id="2" name="Picture 2"/>
            <wp:cNvGraphicFramePr>
              <a:graphicFrameLocks noChangeAspect="1"/>
            </wp:cNvGraphicFramePr>
            <a:graphic>
              <a:graphicData uri="http://schemas.openxmlformats.org/drawingml/2006/picture">
                <pic:pic>
                  <pic:nvPicPr>
                    <pic:cNvPr id="0" name="ACR.png"/>
                    <pic:cNvPicPr/>
                  </pic:nvPicPr>
                  <pic:blipFill>
                    <a:blip r:embed="rId9"/>
                    <a:stretch>
                      <a:fillRect/>
                    </a:stretch>
                  </pic:blipFill>
                  <pic:spPr>
                    <a:xfrm>
                      <a:off x="0" y="0"/>
                      <a:ext cx="5943600" cy="4702215"/>
                    </a:xfrm>
                    <a:prstGeom prst="rect"/>
                  </pic:spPr>
                </pic:pic>
              </a:graphicData>
            </a:graphic>
          </wp:inline>
        </w:drawing>
      </w:r>
    </w:p>
    <w:p>
      <w:pPr>
        <w:jc w:val="center"/>
      </w:pPr>
      <w:r>
        <w:rPr>
          <w:i/>
          <w:sz w:val="17"/>
        </w:rPr>
        <w:t>Figure – Enter the ACR basic settings</w:t>
      </w:r>
    </w:p>
    <w:p>
      <w:pPr>
        <w:pStyle w:val="Heading2"/>
      </w:pPr>
      <w:r>
        <w:t>ACR settings to verify</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Setting</w:t>
            </w:r>
          </w:p>
        </w:tc>
        <w:tc>
          <w:tcPr>
            <w:tcW w:type="dxa" w:w="5112"/>
            <w:vAlign w:val="center"/>
            <w:shd w:fill="D9EAF7"/>
          </w:tcPr>
          <w:p>
            <w:r/>
            <w:r>
              <w:rPr>
                <w:b/>
                <w:sz w:val="19"/>
              </w:rPr>
              <w:t>Value</w:t>
            </w:r>
          </w:p>
        </w:tc>
      </w:tr>
      <w:tr>
        <w:tc>
          <w:tcPr>
            <w:tcW w:type="dxa" w:w="5112"/>
            <w:vAlign w:val="center"/>
          </w:tcPr>
          <w:p>
            <w:r/>
            <w:r>
              <w:rPr>
                <w:b w:val="0"/>
                <w:sz w:val="19"/>
              </w:rPr>
              <w:t>Subscription</w:t>
            </w:r>
          </w:p>
        </w:tc>
        <w:tc>
          <w:tcPr>
            <w:tcW w:type="dxa" w:w="5112"/>
            <w:vAlign w:val="center"/>
          </w:tcPr>
          <w:p>
            <w:r/>
            <w:r>
              <w:rPr>
                <w:b w:val="0"/>
                <w:sz w:val="19"/>
              </w:rPr>
              <w:t>Your lab subscription</w:t>
            </w:r>
          </w:p>
        </w:tc>
      </w:tr>
      <w:tr>
        <w:tc>
          <w:tcPr>
            <w:tcW w:type="dxa" w:w="5112"/>
            <w:vAlign w:val="center"/>
          </w:tcPr>
          <w:p>
            <w:r/>
            <w:r>
              <w:rPr>
                <w:b w:val="0"/>
                <w:sz w:val="19"/>
              </w:rPr>
              <w:t>Resource group</w:t>
            </w:r>
          </w:p>
        </w:tc>
        <w:tc>
          <w:tcPr>
            <w:tcW w:type="dxa" w:w="5112"/>
            <w:vAlign w:val="center"/>
          </w:tcPr>
          <w:p>
            <w:r/>
            <w:r>
              <w:rPr>
                <w:b w:val="0"/>
                <w:sz w:val="19"/>
              </w:rPr>
              <w:t>ResourceGroup1</w:t>
            </w:r>
          </w:p>
        </w:tc>
      </w:tr>
      <w:tr>
        <w:tc>
          <w:tcPr>
            <w:tcW w:type="dxa" w:w="5112"/>
            <w:vAlign w:val="center"/>
          </w:tcPr>
          <w:p>
            <w:r/>
            <w:r>
              <w:rPr>
                <w:b w:val="0"/>
                <w:sz w:val="19"/>
              </w:rPr>
              <w:t>Registry name</w:t>
            </w:r>
          </w:p>
        </w:tc>
        <w:tc>
          <w:tcPr>
            <w:tcW w:type="dxa" w:w="5112"/>
            <w:vAlign w:val="center"/>
          </w:tcPr>
          <w:p>
            <w:r/>
            <w:r>
              <w:rPr>
                <w:b w:val="0"/>
                <w:sz w:val="19"/>
              </w:rPr>
              <w:t>acr65006303</w:t>
            </w:r>
          </w:p>
        </w:tc>
      </w:tr>
      <w:tr>
        <w:tc>
          <w:tcPr>
            <w:tcW w:type="dxa" w:w="5112"/>
            <w:vAlign w:val="center"/>
          </w:tcPr>
          <w:p>
            <w:r/>
            <w:r>
              <w:rPr>
                <w:b w:val="0"/>
                <w:sz w:val="19"/>
              </w:rPr>
              <w:t>Location</w:t>
            </w:r>
          </w:p>
        </w:tc>
        <w:tc>
          <w:tcPr>
            <w:tcW w:type="dxa" w:w="5112"/>
            <w:vAlign w:val="center"/>
          </w:tcPr>
          <w:p>
            <w:r/>
            <w:r>
              <w:rPr>
                <w:b w:val="0"/>
                <w:sz w:val="19"/>
              </w:rPr>
              <w:t>West US 2</w:t>
            </w:r>
          </w:p>
        </w:tc>
      </w:tr>
      <w:tr>
        <w:tc>
          <w:tcPr>
            <w:tcW w:type="dxa" w:w="5112"/>
            <w:vAlign w:val="center"/>
          </w:tcPr>
          <w:p>
            <w:r/>
            <w:r>
              <w:rPr>
                <w:b w:val="0"/>
                <w:sz w:val="19"/>
              </w:rPr>
              <w:t>Domain name label scope</w:t>
            </w:r>
          </w:p>
        </w:tc>
        <w:tc>
          <w:tcPr>
            <w:tcW w:type="dxa" w:w="5112"/>
            <w:vAlign w:val="center"/>
          </w:tcPr>
          <w:p>
            <w:r/>
            <w:r>
              <w:rPr>
                <w:b w:val="0"/>
                <w:sz w:val="19"/>
              </w:rPr>
              <w:t>Unsecure</w:t>
            </w:r>
          </w:p>
        </w:tc>
      </w:tr>
      <w:tr>
        <w:tc>
          <w:tcPr>
            <w:tcW w:type="dxa" w:w="5112"/>
            <w:vAlign w:val="center"/>
          </w:tcPr>
          <w:p>
            <w:r/>
            <w:r>
              <w:rPr>
                <w:b w:val="0"/>
                <w:sz w:val="19"/>
              </w:rPr>
              <w:t>Availability zones</w:t>
            </w:r>
          </w:p>
        </w:tc>
        <w:tc>
          <w:tcPr>
            <w:tcW w:type="dxa" w:w="5112"/>
            <w:vAlign w:val="center"/>
          </w:tcPr>
          <w:p>
            <w:r/>
            <w:r>
              <w:rPr>
                <w:b w:val="0"/>
                <w:sz w:val="19"/>
              </w:rPr>
              <w:t>Disabled</w:t>
            </w:r>
          </w:p>
        </w:tc>
      </w:tr>
      <w:tr>
        <w:tc>
          <w:tcPr>
            <w:tcW w:type="dxa" w:w="5112"/>
            <w:vAlign w:val="center"/>
          </w:tcPr>
          <w:p>
            <w:r/>
            <w:r>
              <w:rPr>
                <w:b w:val="0"/>
                <w:sz w:val="19"/>
              </w:rPr>
              <w:t>Pricing plan</w:t>
            </w:r>
          </w:p>
        </w:tc>
        <w:tc>
          <w:tcPr>
            <w:tcW w:type="dxa" w:w="5112"/>
            <w:vAlign w:val="center"/>
          </w:tcPr>
          <w:p>
            <w:r/>
            <w:r>
              <w:rPr>
                <w:b w:val="0"/>
                <w:sz w:val="19"/>
              </w:rPr>
              <w:t>Basic</w:t>
            </w:r>
          </w:p>
        </w:tc>
      </w:tr>
      <w:tr>
        <w:tc>
          <w:tcPr>
            <w:tcW w:type="dxa" w:w="5112"/>
            <w:vAlign w:val="center"/>
          </w:tcPr>
          <w:p>
            <w:r/>
            <w:r>
              <w:rPr>
                <w:b w:val="0"/>
                <w:sz w:val="19"/>
              </w:rPr>
              <w:t>Role assignment mode</w:t>
            </w:r>
          </w:p>
        </w:tc>
        <w:tc>
          <w:tcPr>
            <w:tcW w:type="dxa" w:w="5112"/>
            <w:vAlign w:val="center"/>
          </w:tcPr>
          <w:p>
            <w:r/>
            <w:r>
              <w:rPr>
                <w:b w:val="0"/>
                <w:sz w:val="19"/>
              </w:rPr>
              <w:t>RBAC Registry + ABAC Repository Permissions</w:t>
            </w:r>
          </w:p>
        </w:tc>
      </w:tr>
    </w:tbl>
    <w:p>
      <w:pPr>
        <w:spacing w:before="100"/>
      </w:pPr>
      <w:r>
        <w:rPr>
          <w:b/>
          <w:sz w:val="25"/>
        </w:rPr>
        <w:t>Step 3: Review and create</w:t>
      </w:r>
    </w:p>
    <w:p>
      <w:pPr>
        <w:spacing w:after="100"/>
      </w:pPr>
      <w:r>
        <w:t>Select Review + create. Wait for Validation passed. Then select Create. After deployment finishes, open the new registry.</w:t>
      </w:r>
    </w:p>
    <w:p>
      <w:pPr>
        <w:jc w:val="center"/>
      </w:pPr>
      <w:r>
        <w:drawing>
          <wp:inline xmlns:a="http://schemas.openxmlformats.org/drawingml/2006/main" xmlns:pic="http://schemas.openxmlformats.org/drawingml/2006/picture">
            <wp:extent cx="5943600" cy="5194524"/>
            <wp:docPr id="3" name="Picture 3"/>
            <wp:cNvGraphicFramePr>
              <a:graphicFrameLocks noChangeAspect="1"/>
            </wp:cNvGraphicFramePr>
            <a:graphic>
              <a:graphicData uri="http://schemas.openxmlformats.org/drawingml/2006/picture">
                <pic:pic>
                  <pic:nvPicPr>
                    <pic:cNvPr id="0" name="ACR-2.png"/>
                    <pic:cNvPicPr/>
                  </pic:nvPicPr>
                  <pic:blipFill>
                    <a:blip r:embed="rId10"/>
                    <a:stretch>
                      <a:fillRect/>
                    </a:stretch>
                  </pic:blipFill>
                  <pic:spPr>
                    <a:xfrm>
                      <a:off x="0" y="0"/>
                      <a:ext cx="5943600" cy="5194524"/>
                    </a:xfrm>
                    <a:prstGeom prst="rect"/>
                  </pic:spPr>
                </pic:pic>
              </a:graphicData>
            </a:graphic>
          </wp:inline>
        </w:drawing>
      </w:r>
    </w:p>
    <w:p>
      <w:pPr>
        <w:jc w:val="center"/>
      </w:pPr>
      <w:r>
        <w:rPr>
          <w:i/>
          <w:sz w:val="17"/>
        </w:rPr>
        <w:t>Figure – Review and create</w:t>
      </w:r>
    </w:p>
    <w:p>
      <w:pPr>
        <w:pStyle w:val="Heading1"/>
      </w:pPr>
      <w:r>
        <w:t>Part 2 – Enable the ACR Admin User</w:t>
      </w:r>
    </w:p>
    <w:p>
      <w:r>
        <w:t>The Admin user provides username/password credentials that can be used by a Web App or other client when the lab requires admin credentials.</w:t>
      </w:r>
    </w:p>
    <w:p>
      <w:pPr>
        <w:spacing w:before="100"/>
      </w:pPr>
      <w:r>
        <w:rPr>
          <w:b/>
          <w:sz w:val="25"/>
        </w:rPr>
        <w:t>Step 4: Open Access keys</w:t>
      </w:r>
    </w:p>
    <w:p>
      <w:pPr>
        <w:spacing w:after="100"/>
      </w:pPr>
      <w:r>
        <w:t>Inside acr65006303, select Access keys under Settings. Turn on Admin user. Confirm that the Login server is acr65006303.azurecr.io.</w:t>
      </w:r>
    </w:p>
    <w:p>
      <w:pPr>
        <w:jc w:val="center"/>
      </w:pPr>
      <w:r>
        <w:drawing>
          <wp:inline xmlns:a="http://schemas.openxmlformats.org/drawingml/2006/main" xmlns:pic="http://schemas.openxmlformats.org/drawingml/2006/picture">
            <wp:extent cx="5943600" cy="3178344"/>
            <wp:docPr id="4" name="Picture 4"/>
            <wp:cNvGraphicFramePr>
              <a:graphicFrameLocks noChangeAspect="1"/>
            </wp:cNvGraphicFramePr>
            <a:graphic>
              <a:graphicData uri="http://schemas.openxmlformats.org/drawingml/2006/picture">
                <pic:pic>
                  <pic:nvPicPr>
                    <pic:cNvPr id="0" name="ACR-3.png"/>
                    <pic:cNvPicPr/>
                  </pic:nvPicPr>
                  <pic:blipFill>
                    <a:blip r:embed="rId11"/>
                    <a:stretch>
                      <a:fillRect/>
                    </a:stretch>
                  </pic:blipFill>
                  <pic:spPr>
                    <a:xfrm>
                      <a:off x="0" y="0"/>
                      <a:ext cx="5943600" cy="3178344"/>
                    </a:xfrm>
                    <a:prstGeom prst="rect"/>
                  </pic:spPr>
                </pic:pic>
              </a:graphicData>
            </a:graphic>
          </wp:inline>
        </w:drawing>
      </w:r>
    </w:p>
    <w:p>
      <w:pPr>
        <w:jc w:val="center"/>
      </w:pPr>
      <w:r>
        <w:rPr>
          <w:i/>
          <w:sz w:val="17"/>
        </w:rPr>
        <w:t>Figure – Open Access keys</w:t>
      </w:r>
    </w:p>
    <w:tbl>
      <w:tblPr>
        <w:tblW w:type="auto" w:w="0"/>
        <w:jc w:val="center"/>
        <w:tblLook w:firstColumn="1" w:firstRow="1" w:lastColumn="0" w:lastRow="0" w:noHBand="0" w:noVBand="1" w:val="04A0"/>
      </w:tblPr>
      <w:tblGrid>
        <w:gridCol w:w="10224"/>
      </w:tblGrid>
      <w:tr>
        <w:tc>
          <w:tcPr>
            <w:tcW w:type="dxa" w:w="10224"/>
            <w:shd w:fill="FDECEC"/>
          </w:tcPr>
          <w:p>
            <w:r>
              <w:rPr>
                <w:b/>
                <w:sz w:val="21"/>
              </w:rPr>
              <w:t>Security note</w:t>
              <w:br/>
            </w:r>
            <w:r>
              <w:rPr>
                <w:sz w:val="20"/>
              </w:rPr>
              <w:t>Do not paste the ACR password into the lab document or chat. Treat it like a password and use it only where the Azure portal asks for credentials.</w:t>
            </w:r>
          </w:p>
        </w:tc>
      </w:tr>
    </w:tbl>
    <w:p/>
    <w:p>
      <w:pPr>
        <w:pStyle w:val="Heading1"/>
      </w:pPr>
      <w:r>
        <w:t>Part 3 – Import the Container Image into ACR</w:t>
      </w:r>
    </w:p>
    <w:p>
      <w:r>
        <w:t>Instead of downloading the image locally and pushing it, Azure ACR can import an image directly from Docker Hub into the registry.</w:t>
      </w:r>
    </w:p>
    <w:p>
      <w:pPr>
        <w:spacing w:before="100"/>
      </w:pPr>
      <w:r>
        <w:rPr>
          <w:b/>
          <w:sz w:val="25"/>
        </w:rPr>
        <w:t>Step 5: Run the ACR import command</w:t>
      </w:r>
    </w:p>
    <w:p>
      <w:pPr>
        <w:spacing w:after="100"/>
      </w:pPr>
      <w:r>
        <w:t>Open Azure Cloud Shell or a terminal where Azure CLI is logged in. Run the following command. This imports the Docker Hub image into ACR and stores it as az204:ecom.</w:t>
      </w:r>
    </w:p>
    <w:p>
      <w:pPr>
        <w:jc w:val="center"/>
      </w:pPr>
      <w:r>
        <w:drawing>
          <wp:inline xmlns:a="http://schemas.openxmlformats.org/drawingml/2006/main" xmlns:pic="http://schemas.openxmlformats.org/drawingml/2006/picture">
            <wp:extent cx="5943600" cy="370793"/>
            <wp:docPr id="5" name="Picture 5"/>
            <wp:cNvGraphicFramePr>
              <a:graphicFrameLocks noChangeAspect="1"/>
            </wp:cNvGraphicFramePr>
            <a:graphic>
              <a:graphicData uri="http://schemas.openxmlformats.org/drawingml/2006/picture">
                <pic:pic>
                  <pic:nvPicPr>
                    <pic:cNvPr id="0" name="ACR-4.png"/>
                    <pic:cNvPicPr/>
                  </pic:nvPicPr>
                  <pic:blipFill>
                    <a:blip r:embed="rId12"/>
                    <a:stretch>
                      <a:fillRect/>
                    </a:stretch>
                  </pic:blipFill>
                  <pic:spPr>
                    <a:xfrm>
                      <a:off x="0" y="0"/>
                      <a:ext cx="5943600" cy="370793"/>
                    </a:xfrm>
                    <a:prstGeom prst="rect"/>
                  </pic:spPr>
                </pic:pic>
              </a:graphicData>
            </a:graphic>
          </wp:inline>
        </w:drawing>
      </w:r>
    </w:p>
    <w:p>
      <w:pPr>
        <w:jc w:val="center"/>
      </w:pPr>
      <w:r>
        <w:rPr>
          <w:i/>
          <w:sz w:val="17"/>
        </w:rPr>
        <w:t>Figure – Run the ACR import command</w:t>
      </w:r>
    </w:p>
    <w:tbl>
      <w:tblPr>
        <w:tblW w:type="auto" w:w="0"/>
        <w:tblLook w:firstColumn="1" w:firstRow="1" w:lastColumn="0" w:lastRow="0" w:noHBand="0" w:noVBand="1" w:val="04A0"/>
      </w:tblPr>
      <w:tblGrid>
        <w:gridCol w:w="10224"/>
      </w:tblGrid>
      <w:tr>
        <w:tc>
          <w:tcPr>
            <w:tcW w:type="dxa" w:w="10224"/>
            <w:shd w:fill="F3F4F6"/>
          </w:tcPr>
          <w:p>
            <w:r>
              <w:rPr>
                <w:rFonts w:ascii="Consolas" w:hAnsi="Consolas"/>
                <w:sz w:val="18"/>
              </w:rPr>
              <w:t>az acr import --name acr65006303 --source docker.io/bipeen2001/az204:ecom --image az204:ecom</w:t>
            </w:r>
          </w:p>
        </w:tc>
      </w:tr>
    </w:tbl>
    <w:p/>
    <w:p>
      <w:r>
        <w:t>After the command completes without an error, the image should be available in the registry as:</w:t>
      </w:r>
    </w:p>
    <w:tbl>
      <w:tblPr>
        <w:tblW w:type="auto" w:w="0"/>
        <w:tblLook w:firstColumn="1" w:firstRow="1" w:lastColumn="0" w:lastRow="0" w:noHBand="0" w:noVBand="1" w:val="04A0"/>
      </w:tblPr>
      <w:tblGrid>
        <w:gridCol w:w="10224"/>
      </w:tblGrid>
      <w:tr>
        <w:tc>
          <w:tcPr>
            <w:tcW w:type="dxa" w:w="10224"/>
            <w:shd w:fill="F3F4F6"/>
          </w:tcPr>
          <w:p>
            <w:r>
              <w:rPr>
                <w:rFonts w:ascii="Consolas" w:hAnsi="Consolas"/>
                <w:sz w:val="18"/>
              </w:rPr>
              <w:t>acr65006303.azurecr.io/az204:ecom</w:t>
            </w:r>
          </w:p>
        </w:tc>
      </w:tr>
    </w:tbl>
    <w:p/>
    <w:p>
      <w:pPr>
        <w:pStyle w:val="Heading1"/>
      </w:pPr>
      <w:r>
        <w:t>Part 4 – Configure ACR Role Assignment Mode</w:t>
      </w:r>
    </w:p>
    <w:p>
      <w:r>
        <w:t>The lab changes the registry authentication/authorization mode to RBAC + ABAC Repository Permissions.</w:t>
      </w:r>
    </w:p>
    <w:p>
      <w:pPr>
        <w:spacing w:before="100"/>
      </w:pPr>
      <w:r>
        <w:rPr>
          <w:b/>
          <w:sz w:val="25"/>
        </w:rPr>
        <w:t>Step 6: Update the ACR role-assignment mode</w:t>
      </w:r>
    </w:p>
    <w:p>
      <w:pPr>
        <w:spacing w:after="100"/>
      </w:pPr>
      <w:r>
        <w:t>Run this Azure CLI command. It changes the registry to RBAC + ABAC Repository Permissions.</w:t>
      </w:r>
    </w:p>
    <w:p>
      <w:pPr>
        <w:jc w:val="center"/>
      </w:pPr>
      <w:r>
        <w:drawing>
          <wp:inline xmlns:a="http://schemas.openxmlformats.org/drawingml/2006/main" xmlns:pic="http://schemas.openxmlformats.org/drawingml/2006/picture">
            <wp:extent cx="5943600" cy="2765394"/>
            <wp:docPr id="6" name="Picture 6"/>
            <wp:cNvGraphicFramePr>
              <a:graphicFrameLocks noChangeAspect="1"/>
            </wp:cNvGraphicFramePr>
            <a:graphic>
              <a:graphicData uri="http://schemas.openxmlformats.org/drawingml/2006/picture">
                <pic:pic>
                  <pic:nvPicPr>
                    <pic:cNvPr id="0" name="ACR-5.png"/>
                    <pic:cNvPicPr/>
                  </pic:nvPicPr>
                  <pic:blipFill>
                    <a:blip r:embed="rId13"/>
                    <a:stretch>
                      <a:fillRect/>
                    </a:stretch>
                  </pic:blipFill>
                  <pic:spPr>
                    <a:xfrm>
                      <a:off x="0" y="0"/>
                      <a:ext cx="5943600" cy="2765394"/>
                    </a:xfrm>
                    <a:prstGeom prst="rect"/>
                  </pic:spPr>
                </pic:pic>
              </a:graphicData>
            </a:graphic>
          </wp:inline>
        </w:drawing>
      </w:r>
    </w:p>
    <w:p>
      <w:pPr>
        <w:jc w:val="center"/>
      </w:pPr>
      <w:r>
        <w:rPr>
          <w:i/>
          <w:sz w:val="17"/>
        </w:rPr>
        <w:t>Figure – Update the ACR role-assignment mode</w:t>
      </w:r>
    </w:p>
    <w:tbl>
      <w:tblPr>
        <w:tblW w:type="auto" w:w="0"/>
        <w:tblLook w:firstColumn="1" w:firstRow="1" w:lastColumn="0" w:lastRow="0" w:noHBand="0" w:noVBand="1" w:val="04A0"/>
      </w:tblPr>
      <w:tblGrid>
        <w:gridCol w:w="10224"/>
      </w:tblGrid>
      <w:tr>
        <w:tc>
          <w:tcPr>
            <w:tcW w:type="dxa" w:w="10224"/>
            <w:shd w:fill="F3F4F6"/>
          </w:tcPr>
          <w:p>
            <w:r>
              <w:rPr>
                <w:rFonts w:ascii="Consolas" w:hAnsi="Consolas"/>
                <w:sz w:val="18"/>
              </w:rPr>
              <w:t>az acr update --name acr65006303 --resource-group ResourceGroup1 --role-assignment-mode 'rbac-abac'</w:t>
            </w:r>
          </w:p>
        </w:tc>
      </w:tr>
    </w:tbl>
    <w:p/>
    <w:p>
      <w:pPr>
        <w:spacing w:before="100"/>
      </w:pPr>
      <w:r>
        <w:rPr>
          <w:b/>
          <w:sz w:val="25"/>
        </w:rPr>
        <w:t>Step 7: Verify the registry properties</w:t>
      </w:r>
    </w:p>
    <w:p>
      <w:pPr>
        <w:spacing w:after="100"/>
      </w:pPr>
      <w:r>
        <w:t>In the ACR portal, open Properties and check the Role assignment permissions mode. The registry should show the RBAC/ABAC mode required by your lab. If your portal displays RBAC Registry Permissions instead, verify the setting before continuing.</w:t>
      </w:r>
    </w:p>
    <w:p>
      <w:pPr>
        <w:jc w:val="center"/>
      </w:pPr>
      <w:r>
        <w:drawing>
          <wp:inline xmlns:a="http://schemas.openxmlformats.org/drawingml/2006/main" xmlns:pic="http://schemas.openxmlformats.org/drawingml/2006/picture">
            <wp:extent cx="5943600" cy="3312483"/>
            <wp:docPr id="7" name="Picture 7"/>
            <wp:cNvGraphicFramePr>
              <a:graphicFrameLocks noChangeAspect="1"/>
            </wp:cNvGraphicFramePr>
            <a:graphic>
              <a:graphicData uri="http://schemas.openxmlformats.org/drawingml/2006/picture">
                <pic:pic>
                  <pic:nvPicPr>
                    <pic:cNvPr id="0" name="ACR-6.png"/>
                    <pic:cNvPicPr/>
                  </pic:nvPicPr>
                  <pic:blipFill>
                    <a:blip r:embed="rId14"/>
                    <a:stretch>
                      <a:fillRect/>
                    </a:stretch>
                  </pic:blipFill>
                  <pic:spPr>
                    <a:xfrm>
                      <a:off x="0" y="0"/>
                      <a:ext cx="5943600" cy="3312483"/>
                    </a:xfrm>
                    <a:prstGeom prst="rect"/>
                  </pic:spPr>
                </pic:pic>
              </a:graphicData>
            </a:graphic>
          </wp:inline>
        </w:drawing>
      </w:r>
    </w:p>
    <w:p>
      <w:pPr>
        <w:jc w:val="center"/>
      </w:pPr>
      <w:r>
        <w:rPr>
          <w:i/>
          <w:sz w:val="17"/>
        </w:rPr>
        <w:t>Figure – Verify the registry properties</w:t>
      </w:r>
    </w:p>
    <w:tbl>
      <w:tblPr>
        <w:tblW w:type="auto" w:w="0"/>
        <w:jc w:val="center"/>
        <w:tblLook w:firstColumn="1" w:firstRow="1" w:lastColumn="0" w:lastRow="0" w:noHBand="0" w:noVBand="1" w:val="04A0"/>
      </w:tblPr>
      <w:tblGrid>
        <w:gridCol w:w="10224"/>
      </w:tblGrid>
      <w:tr>
        <w:tc>
          <w:tcPr>
            <w:tcW w:type="dxa" w:w="10224"/>
            <w:shd w:fill="FFF4E5"/>
          </w:tcPr>
          <w:p>
            <w:r>
              <w:rPr>
                <w:b/>
                <w:sz w:val="21"/>
              </w:rPr>
              <w:t>If repository access is denied</w:t>
              <w:br/>
            </w:r>
            <w:r>
              <w:rPr>
                <w:sz w:val="20"/>
              </w:rPr>
              <w:t>If the Repositories page says that you do not have permission to list repositories, the issue is an RBAC/data-plane permission issue. The ACR itself may still be working correctly. Check the role assignments for your user before changing the registry again.</w:t>
            </w:r>
          </w:p>
        </w:tc>
      </w:tr>
    </w:tbl>
    <w:p/>
    <w:p>
      <w:pPr>
        <w:pStyle w:val="Heading1"/>
      </w:pPr>
      <w:r>
        <w:t>Part 5 – Create the Linux Web App</w:t>
      </w:r>
    </w:p>
    <w:p>
      <w:r>
        <w:t>The Web App will run the container image stored in ACR. The lab policy requires a specially named App Service Plan, so pay close attention to the plan name.</w:t>
      </w:r>
    </w:p>
    <w:p>
      <w:pPr>
        <w:spacing w:before="100"/>
      </w:pPr>
      <w:r>
        <w:rPr>
          <w:b/>
          <w:sz w:val="25"/>
        </w:rPr>
        <w:t>Step 8: Start Create Web App</w:t>
      </w:r>
    </w:p>
    <w:p>
      <w:pPr>
        <w:spacing w:after="100"/>
      </w:pPr>
      <w:r>
        <w:t>Open App Services and select Create → Web App. On Basics, choose the lab subscription and ResourceGroup1. Set Name to app-docprocessor-65006303. Select Container and Linux, and choose West US 2.</w:t>
      </w:r>
    </w:p>
    <w:p>
      <w:pPr>
        <w:jc w:val="center"/>
      </w:pPr>
      <w:r>
        <w:drawing>
          <wp:inline xmlns:a="http://schemas.openxmlformats.org/drawingml/2006/main" xmlns:pic="http://schemas.openxmlformats.org/drawingml/2006/picture">
            <wp:extent cx="5943600" cy="4438208"/>
            <wp:docPr id="8" name="Picture 8"/>
            <wp:cNvGraphicFramePr>
              <a:graphicFrameLocks noChangeAspect="1"/>
            </wp:cNvGraphicFramePr>
            <a:graphic>
              <a:graphicData uri="http://schemas.openxmlformats.org/drawingml/2006/picture">
                <pic:pic>
                  <pic:nvPicPr>
                    <pic:cNvPr id="0" name="ACR-7.png"/>
                    <pic:cNvPicPr/>
                  </pic:nvPicPr>
                  <pic:blipFill>
                    <a:blip r:embed="rId15"/>
                    <a:stretch>
                      <a:fillRect/>
                    </a:stretch>
                  </pic:blipFill>
                  <pic:spPr>
                    <a:xfrm>
                      <a:off x="0" y="0"/>
                      <a:ext cx="5943600" cy="4438208"/>
                    </a:xfrm>
                    <a:prstGeom prst="rect"/>
                  </pic:spPr>
                </pic:pic>
              </a:graphicData>
            </a:graphic>
          </wp:inline>
        </w:drawing>
      </w:r>
    </w:p>
    <w:p>
      <w:pPr>
        <w:jc w:val="center"/>
      </w:pPr>
      <w:r>
        <w:rPr>
          <w:i/>
          <w:sz w:val="17"/>
        </w:rPr>
        <w:t>Figure – Start Create Web App</w:t>
      </w:r>
    </w:p>
    <w:p>
      <w:pPr>
        <w:pStyle w:val="Heading2"/>
      </w:pPr>
      <w:r>
        <w:t>Create the correct App Service Plan</w:t>
      </w:r>
    </w:p>
    <w:p>
      <w:r>
        <w:t>This is the most important policy-related step. The screenshot shows Azure proposing a default plan named ASP-ResourceGroup1-b1f2. That default name was rejected by the lab policy. Select Create new and use the required plan name.</w:t>
      </w:r>
    </w:p>
    <w:tbl>
      <w:tblPr>
        <w:tblW w:type="auto" w:w="0"/>
        <w:tblLook w:firstColumn="1" w:firstRow="1" w:lastColumn="0" w:lastRow="0" w:noHBand="0" w:noVBand="1" w:val="04A0"/>
      </w:tblPr>
      <w:tblGrid>
        <w:gridCol w:w="10224"/>
      </w:tblGrid>
      <w:tr>
        <w:tc>
          <w:tcPr>
            <w:tcW w:type="dxa" w:w="10224"/>
            <w:shd w:fill="F3F4F6"/>
          </w:tcPr>
          <w:p>
            <w:r>
              <w:rPr>
                <w:rFonts w:ascii="Consolas" w:hAnsi="Consolas"/>
                <w:sz w:val="18"/>
              </w:rPr>
              <w:t>App Service Plan name: plan-docprocessor-65006303</w:t>
              <w:br/>
              <w:t>Pricing plan: Basic B1</w:t>
            </w:r>
          </w:p>
        </w:tc>
      </w:tr>
    </w:tbl>
    <w:p/>
    <w:tbl>
      <w:tblPr>
        <w:tblW w:type="auto" w:w="0"/>
        <w:jc w:val="center"/>
        <w:tblLook w:firstColumn="1" w:firstRow="1" w:lastColumn="0" w:lastRow="0" w:noHBand="0" w:noVBand="1" w:val="04A0"/>
      </w:tblPr>
      <w:tblGrid>
        <w:gridCol w:w="10224"/>
      </w:tblGrid>
      <w:tr>
        <w:tc>
          <w:tcPr>
            <w:tcW w:type="dxa" w:w="10224"/>
            <w:shd w:fill="EAF2F8"/>
          </w:tcPr>
          <w:p>
            <w:r>
              <w:rPr>
                <w:b/>
                <w:sz w:val="21"/>
              </w:rPr>
              <w:t>Why this matters</w:t>
              <w:br/>
            </w:r>
            <w:r>
              <w:rPr>
                <w:sz w:val="20"/>
              </w:rPr>
              <w:t>The lab policy shown earlier allows App Service Plans whose name matches plan-docprocessor-........, uses B1, has capacity no greater than 1, and is in a non-global region. A default ASP-ResourceGroup1-xxxx plan can therefore fail policy validation.</w:t>
            </w:r>
          </w:p>
        </w:tc>
      </w:tr>
    </w:tbl>
    <w:p/>
    <w:p>
      <w:pPr>
        <w:spacing w:before="100"/>
      </w:pPr>
      <w:r>
        <w:rPr>
          <w:b/>
          <w:sz w:val="25"/>
        </w:rPr>
        <w:t>Step 9: Configure the container</w:t>
      </w:r>
    </w:p>
    <w:p>
      <w:pPr>
        <w:spacing w:after="100"/>
      </w:pPr>
      <w:r>
        <w:t>Open the Container tab. Select Azure Container Registry as the image source, choose registry acr65006303, select Admin credentials for authentication, then choose image az204 and tag ecom. Keep the port as 80. Leave Startup Command blank unless your application specifically requires one.</w:t>
      </w:r>
    </w:p>
    <w:p>
      <w:pPr>
        <w:jc w:val="center"/>
      </w:pPr>
      <w:r>
        <w:drawing>
          <wp:inline xmlns:a="http://schemas.openxmlformats.org/drawingml/2006/main" xmlns:pic="http://schemas.openxmlformats.org/drawingml/2006/picture">
            <wp:extent cx="5943600" cy="5267551"/>
            <wp:docPr id="9" name="Picture 9"/>
            <wp:cNvGraphicFramePr>
              <a:graphicFrameLocks noChangeAspect="1"/>
            </wp:cNvGraphicFramePr>
            <a:graphic>
              <a:graphicData uri="http://schemas.openxmlformats.org/drawingml/2006/picture">
                <pic:pic>
                  <pic:nvPicPr>
                    <pic:cNvPr id="0" name="ACR-8.png"/>
                    <pic:cNvPicPr/>
                  </pic:nvPicPr>
                  <pic:blipFill>
                    <a:blip r:embed="rId16"/>
                    <a:stretch>
                      <a:fillRect/>
                    </a:stretch>
                  </pic:blipFill>
                  <pic:spPr>
                    <a:xfrm>
                      <a:off x="0" y="0"/>
                      <a:ext cx="5943600" cy="5267551"/>
                    </a:xfrm>
                    <a:prstGeom prst="rect"/>
                  </pic:spPr>
                </pic:pic>
              </a:graphicData>
            </a:graphic>
          </wp:inline>
        </w:drawing>
      </w:r>
    </w:p>
    <w:p>
      <w:pPr>
        <w:jc w:val="center"/>
      </w:pPr>
      <w:r>
        <w:rPr>
          <w:i/>
          <w:sz w:val="17"/>
        </w:rPr>
        <w:t>Figure – Configure the container</w:t>
      </w:r>
    </w:p>
    <w:p>
      <w:pPr>
        <w:pStyle w:val="Heading2"/>
      </w:pPr>
      <w:r>
        <w:t>Container settings</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9"/>
              </w:rPr>
              <w:t>Setting</w:t>
            </w:r>
          </w:p>
        </w:tc>
        <w:tc>
          <w:tcPr>
            <w:tcW w:type="dxa" w:w="5112"/>
            <w:vAlign w:val="center"/>
            <w:shd w:fill="D9EAF7"/>
          </w:tcPr>
          <w:p>
            <w:r/>
            <w:r>
              <w:rPr>
                <w:b/>
                <w:sz w:val="19"/>
              </w:rPr>
              <w:t>Value</w:t>
            </w:r>
          </w:p>
        </w:tc>
      </w:tr>
      <w:tr>
        <w:tc>
          <w:tcPr>
            <w:tcW w:type="dxa" w:w="5112"/>
            <w:vAlign w:val="center"/>
          </w:tcPr>
          <w:p>
            <w:r/>
            <w:r>
              <w:rPr>
                <w:b w:val="0"/>
                <w:sz w:val="19"/>
              </w:rPr>
              <w:t>Image source</w:t>
            </w:r>
          </w:p>
        </w:tc>
        <w:tc>
          <w:tcPr>
            <w:tcW w:type="dxa" w:w="5112"/>
            <w:vAlign w:val="center"/>
          </w:tcPr>
          <w:p>
            <w:r/>
            <w:r>
              <w:rPr>
                <w:b w:val="0"/>
                <w:sz w:val="19"/>
              </w:rPr>
              <w:t>Azure Container Registry</w:t>
            </w:r>
          </w:p>
        </w:tc>
      </w:tr>
      <w:tr>
        <w:tc>
          <w:tcPr>
            <w:tcW w:type="dxa" w:w="5112"/>
            <w:vAlign w:val="center"/>
          </w:tcPr>
          <w:p>
            <w:r/>
            <w:r>
              <w:rPr>
                <w:b w:val="0"/>
                <w:sz w:val="19"/>
              </w:rPr>
              <w:t>Registry</w:t>
            </w:r>
          </w:p>
        </w:tc>
        <w:tc>
          <w:tcPr>
            <w:tcW w:type="dxa" w:w="5112"/>
            <w:vAlign w:val="center"/>
          </w:tcPr>
          <w:p>
            <w:r/>
            <w:r>
              <w:rPr>
                <w:b w:val="0"/>
                <w:sz w:val="19"/>
              </w:rPr>
              <w:t>acr65006303</w:t>
            </w:r>
          </w:p>
        </w:tc>
      </w:tr>
      <w:tr>
        <w:tc>
          <w:tcPr>
            <w:tcW w:type="dxa" w:w="5112"/>
            <w:vAlign w:val="center"/>
          </w:tcPr>
          <w:p>
            <w:r/>
            <w:r>
              <w:rPr>
                <w:b w:val="0"/>
                <w:sz w:val="19"/>
              </w:rPr>
              <w:t>Authentication</w:t>
            </w:r>
          </w:p>
        </w:tc>
        <w:tc>
          <w:tcPr>
            <w:tcW w:type="dxa" w:w="5112"/>
            <w:vAlign w:val="center"/>
          </w:tcPr>
          <w:p>
            <w:r/>
            <w:r>
              <w:rPr>
                <w:b w:val="0"/>
                <w:sz w:val="19"/>
              </w:rPr>
              <w:t>Admin credentials</w:t>
            </w:r>
          </w:p>
        </w:tc>
      </w:tr>
      <w:tr>
        <w:tc>
          <w:tcPr>
            <w:tcW w:type="dxa" w:w="5112"/>
            <w:vAlign w:val="center"/>
          </w:tcPr>
          <w:p>
            <w:r/>
            <w:r>
              <w:rPr>
                <w:b w:val="0"/>
                <w:sz w:val="19"/>
              </w:rPr>
              <w:t>Image</w:t>
            </w:r>
          </w:p>
        </w:tc>
        <w:tc>
          <w:tcPr>
            <w:tcW w:type="dxa" w:w="5112"/>
            <w:vAlign w:val="center"/>
          </w:tcPr>
          <w:p>
            <w:r/>
            <w:r>
              <w:rPr>
                <w:b w:val="0"/>
                <w:sz w:val="19"/>
              </w:rPr>
              <w:t>az204</w:t>
            </w:r>
          </w:p>
        </w:tc>
      </w:tr>
      <w:tr>
        <w:tc>
          <w:tcPr>
            <w:tcW w:type="dxa" w:w="5112"/>
            <w:vAlign w:val="center"/>
          </w:tcPr>
          <w:p>
            <w:r/>
            <w:r>
              <w:rPr>
                <w:b w:val="0"/>
                <w:sz w:val="19"/>
              </w:rPr>
              <w:t>Tag</w:t>
            </w:r>
          </w:p>
        </w:tc>
        <w:tc>
          <w:tcPr>
            <w:tcW w:type="dxa" w:w="5112"/>
            <w:vAlign w:val="center"/>
          </w:tcPr>
          <w:p>
            <w:r/>
            <w:r>
              <w:rPr>
                <w:b w:val="0"/>
                <w:sz w:val="19"/>
              </w:rPr>
              <w:t>ecom</w:t>
            </w:r>
          </w:p>
        </w:tc>
      </w:tr>
      <w:tr>
        <w:tc>
          <w:tcPr>
            <w:tcW w:type="dxa" w:w="5112"/>
            <w:vAlign w:val="center"/>
          </w:tcPr>
          <w:p>
            <w:r/>
            <w:r>
              <w:rPr>
                <w:b w:val="0"/>
                <w:sz w:val="19"/>
              </w:rPr>
              <w:t>Port</w:t>
            </w:r>
          </w:p>
        </w:tc>
        <w:tc>
          <w:tcPr>
            <w:tcW w:type="dxa" w:w="5112"/>
            <w:vAlign w:val="center"/>
          </w:tcPr>
          <w:p>
            <w:r/>
            <w:r>
              <w:rPr>
                <w:b w:val="0"/>
                <w:sz w:val="19"/>
              </w:rPr>
              <w:t>80</w:t>
            </w:r>
          </w:p>
        </w:tc>
      </w:tr>
      <w:tr>
        <w:tc>
          <w:tcPr>
            <w:tcW w:type="dxa" w:w="5112"/>
            <w:vAlign w:val="center"/>
          </w:tcPr>
          <w:p>
            <w:r/>
            <w:r>
              <w:rPr>
                <w:b w:val="0"/>
                <w:sz w:val="19"/>
              </w:rPr>
              <w:t>Startup command</w:t>
            </w:r>
          </w:p>
        </w:tc>
        <w:tc>
          <w:tcPr>
            <w:tcW w:type="dxa" w:w="5112"/>
            <w:vAlign w:val="center"/>
          </w:tcPr>
          <w:p>
            <w:r/>
            <w:r>
              <w:rPr>
                <w:b w:val="0"/>
                <w:sz w:val="19"/>
              </w:rPr>
              <w:t>Leave blank unless required</w:t>
            </w:r>
          </w:p>
        </w:tc>
      </w:tr>
    </w:tbl>
    <w:p>
      <w:pPr>
        <w:pStyle w:val="Heading1"/>
      </w:pPr>
      <w:r>
        <w:t>Part 6 – Review and Create</w:t>
      </w:r>
    </w:p>
    <w:p>
      <w:pPr>
        <w:spacing w:before="100"/>
      </w:pPr>
      <w:r>
        <w:rPr>
          <w:b/>
          <w:sz w:val="25"/>
        </w:rPr>
        <w:t>Step 10: Review the Web App configuration</w:t>
      </w:r>
    </w:p>
    <w:p>
      <w:pPr>
        <w:spacing w:after="100"/>
      </w:pPr>
      <w:r>
        <w:t>Select Review + create. Check the Web App name, App Service Plan name, B1 pricing plan, ACR name, image, tag, and port before selecting Create.</w:t>
      </w:r>
    </w:p>
    <w:p>
      <w:pPr>
        <w:jc w:val="center"/>
      </w:pPr>
      <w:r>
        <w:drawing>
          <wp:inline xmlns:a="http://schemas.openxmlformats.org/drawingml/2006/main" xmlns:pic="http://schemas.openxmlformats.org/drawingml/2006/picture">
            <wp:extent cx="5943600" cy="4438208"/>
            <wp:docPr id="10" name="Picture 10"/>
            <wp:cNvGraphicFramePr>
              <a:graphicFrameLocks noChangeAspect="1"/>
            </wp:cNvGraphicFramePr>
            <a:graphic>
              <a:graphicData uri="http://schemas.openxmlformats.org/drawingml/2006/picture">
                <pic:pic>
                  <pic:nvPicPr>
                    <pic:cNvPr id="0" name="ACR-7.png"/>
                    <pic:cNvPicPr/>
                  </pic:nvPicPr>
                  <pic:blipFill>
                    <a:blip r:embed="rId15"/>
                    <a:stretch>
                      <a:fillRect/>
                    </a:stretch>
                  </pic:blipFill>
                  <pic:spPr>
                    <a:xfrm>
                      <a:off x="0" y="0"/>
                      <a:ext cx="5943600" cy="4438208"/>
                    </a:xfrm>
                    <a:prstGeom prst="rect"/>
                  </pic:spPr>
                </pic:pic>
              </a:graphicData>
            </a:graphic>
          </wp:inline>
        </w:drawing>
      </w:r>
    </w:p>
    <w:p>
      <w:pPr>
        <w:jc w:val="center"/>
      </w:pPr>
      <w:r>
        <w:rPr>
          <w:i/>
          <w:sz w:val="17"/>
        </w:rPr>
        <w:t>Figure – Review the Web App configuration</w:t>
      </w:r>
    </w:p>
    <w:p>
      <w:pPr>
        <w:pStyle w:val="Heading2"/>
      </w:pPr>
      <w:r>
        <w:t>Final checklist</w:t>
      </w:r>
    </w:p>
    <w:p>
      <w:pPr>
        <w:pStyle w:val="ListBullet"/>
        <w:spacing w:after="0"/>
      </w:pPr>
      <w:r>
        <w:t>☐ Resource Group = ResourceGroup1</w:t>
      </w:r>
    </w:p>
    <w:p>
      <w:pPr>
        <w:pStyle w:val="ListBullet"/>
        <w:spacing w:after="0"/>
      </w:pPr>
      <w:r>
        <w:t>☐ ACR = acr65006303</w:t>
      </w:r>
    </w:p>
    <w:p>
      <w:pPr>
        <w:pStyle w:val="ListBullet"/>
        <w:spacing w:after="0"/>
      </w:pPr>
      <w:r>
        <w:t>☐ ACR location = West US 2</w:t>
      </w:r>
    </w:p>
    <w:p>
      <w:pPr>
        <w:pStyle w:val="ListBullet"/>
        <w:spacing w:after="0"/>
      </w:pPr>
      <w:r>
        <w:t>☐ ACR pricing = Basic</w:t>
      </w:r>
    </w:p>
    <w:p>
      <w:pPr>
        <w:pStyle w:val="ListBullet"/>
        <w:spacing w:after="0"/>
      </w:pPr>
      <w:r>
        <w:t>☐ ACR admin user enabled</w:t>
      </w:r>
    </w:p>
    <w:p>
      <w:pPr>
        <w:pStyle w:val="ListBullet"/>
        <w:spacing w:after="0"/>
      </w:pPr>
      <w:r>
        <w:t>☐ Image imported as az204:ecom</w:t>
      </w:r>
    </w:p>
    <w:p>
      <w:pPr>
        <w:pStyle w:val="ListBullet"/>
        <w:spacing w:after="0"/>
      </w:pPr>
      <w:r>
        <w:t>☐ App Service Plan name begins with plan-docprocessor-</w:t>
      </w:r>
    </w:p>
    <w:p>
      <w:pPr>
        <w:pStyle w:val="ListBullet"/>
        <w:spacing w:after="0"/>
      </w:pPr>
      <w:r>
        <w:t>☐ App Service Plan = Basic B1</w:t>
      </w:r>
    </w:p>
    <w:p>
      <w:pPr>
        <w:pStyle w:val="ListBullet"/>
        <w:spacing w:after="0"/>
      </w:pPr>
      <w:r>
        <w:t>☐ Web App = app-docprocessor-65006303</w:t>
      </w:r>
    </w:p>
    <w:p>
      <w:pPr>
        <w:pStyle w:val="ListBullet"/>
        <w:spacing w:after="0"/>
      </w:pPr>
      <w:r>
        <w:t>☐ Container source = Azure Container Registry</w:t>
      </w:r>
    </w:p>
    <w:p>
      <w:pPr>
        <w:pStyle w:val="ListBullet"/>
        <w:spacing w:after="0"/>
      </w:pPr>
      <w:r>
        <w:t>☐ Image = az204</w:t>
      </w:r>
    </w:p>
    <w:p>
      <w:pPr>
        <w:pStyle w:val="ListBullet"/>
        <w:spacing w:after="0"/>
      </w:pPr>
      <w:r>
        <w:t>☐ Tag = ecom</w:t>
      </w:r>
    </w:p>
    <w:p>
      <w:pPr>
        <w:pStyle w:val="ListBullet"/>
        <w:spacing w:after="0"/>
      </w:pPr>
      <w:r>
        <w:t>☐ Port = 80</w:t>
      </w:r>
    </w:p>
    <w:p>
      <w:pPr>
        <w:pStyle w:val="Heading1"/>
      </w:pPr>
      <w:r>
        <w:t>Troubleshooting – Common Lab Errors</w:t>
      </w:r>
    </w:p>
    <w:p>
      <w:r>
        <w:rPr>
          <w:b/>
        </w:rPr>
        <w:t>Validation failed when creating ACR</w:t>
      </w:r>
      <w:r>
        <w:t xml:space="preserve"> — Check ResourceGroup1, ACR name beginning with acr, Basic SKU, and a real region such as West US 2. The screenshots show these values passing validation.</w:t>
      </w:r>
    </w:p>
    <w:p>
      <w:r>
        <w:rPr>
          <w:b/>
        </w:rPr>
        <w:t>Resource 'ASP-ResourceGroup1-xxxx' was disallowed by policy</w:t>
      </w:r>
      <w:r>
        <w:t xml:space="preserve"> — The App Service Plan name does not match the lab policy. Select Create new and use plan-docprocessor-65006303 with Basic B1.</w:t>
      </w:r>
    </w:p>
    <w:p>
      <w:r>
        <w:rPr>
          <w:b/>
        </w:rPr>
        <w:t>You do not have permissions to list repositories</w:t>
      </w:r>
      <w:r>
        <w:t xml:space="preserve"> — Check ACR role assignments. This is a permissions issue, not necessarily an image or registry creation problem.</w:t>
      </w:r>
    </w:p>
    <w:p>
      <w:r>
        <w:rPr>
          <w:b/>
        </w:rPr>
        <w:t>Container image not visible in Web App</w:t>
      </w:r>
      <w:r>
        <w:t xml:space="preserve"> — Confirm that the image was imported as az204:ecom and that the Web App Container tab selects registry acr65006303, image az204, and tag ecom.</w:t>
      </w:r>
    </w:p>
    <w:p>
      <w:pPr>
        <w:pStyle w:val="Heading1"/>
      </w:pPr>
      <w:r>
        <w:t>Quick command reference</w:t>
      </w:r>
    </w:p>
    <w:tbl>
      <w:tblPr>
        <w:tblW w:type="auto" w:w="0"/>
        <w:tblLook w:firstColumn="1" w:firstRow="1" w:lastColumn="0" w:lastRow="0" w:noHBand="0" w:noVBand="1" w:val="04A0"/>
      </w:tblPr>
      <w:tblGrid>
        <w:gridCol w:w="10224"/>
      </w:tblGrid>
      <w:tr>
        <w:tc>
          <w:tcPr>
            <w:tcW w:type="dxa" w:w="10224"/>
            <w:shd w:fill="F3F4F6"/>
          </w:tcPr>
          <w:p>
            <w:r>
              <w:rPr>
                <w:rFonts w:ascii="Consolas" w:hAnsi="Consolas"/>
                <w:sz w:val="18"/>
              </w:rPr>
              <w:t># Import image into ACR</w:t>
              <w:br/>
              <w:t>az acr import --name acr65006303 --source docker.io/bipeen2001/az204:ecom --image az204:ecom</w:t>
              <w:br/>
              <w:br/>
              <w:t># Change ACR role assignment mode</w:t>
              <w:br/>
              <w:t>az acr update --name acr65006303 --resource-group ResourceGroup1 --role-assignment-mode 'rbac-abac'</w:t>
              <w:br/>
              <w:br/>
              <w:t># Check ACR role-assignment mode</w:t>
              <w:br/>
              <w:t>az acr show --name acr65006303 --resource-group ResourceGroup1 --query roleAssignmentMode -o tsv</w:t>
            </w:r>
          </w:p>
        </w:tc>
      </w:tr>
    </w:tbl>
    <w:p/>
    <w:tbl>
      <w:tblPr>
        <w:tblW w:type="auto" w:w="0"/>
        <w:jc w:val="center"/>
        <w:tblLook w:firstColumn="1" w:firstRow="1" w:lastColumn="0" w:lastRow="0" w:noHBand="0" w:noVBand="1" w:val="04A0"/>
      </w:tblPr>
      <w:tblGrid>
        <w:gridCol w:w="10224"/>
      </w:tblGrid>
      <w:tr>
        <w:tc>
          <w:tcPr>
            <w:tcW w:type="dxa" w:w="10224"/>
            <w:shd w:fill="FFF4E5"/>
          </w:tcPr>
          <w:p>
            <w:r>
              <w:rPr>
                <w:b/>
                <w:sz w:val="21"/>
              </w:rPr>
              <w:t>Important note about the supplied script</w:t>
              <w:br/>
            </w:r>
            <w:r>
              <w:rPr>
                <w:sz w:val="20"/>
              </w:rPr>
              <w:t>This manual follows the values visible in the screenshots and the lab policy discussed in the session: Basic B1, plan-docprocessor-..., and image az204:ecom. If you are also running an earlier automation script, compare its generated plan SKU and image/tag with these lab-policy values before using it. Do not mix the script's values with the portal values without checking the policy.</w:t>
            </w:r>
          </w:p>
        </w:tc>
      </w:tr>
    </w:tbl>
    <w:p/>
    <w:p/>
    <w:p>
      <w:pPr>
        <w:jc w:val="center"/>
      </w:pPr>
      <w:r>
        <w:rPr>
          <w:b/>
          <w:sz w:val="26"/>
        </w:rPr>
        <w:t>End of Lab</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Bipeen Sinha</dc:creator>
  <cp:keywords/>
  <dc:description>Bipeen Sinha</dc:description>
  <cp:lastModifiedBy/>
  <cp:revision>1</cp:revision>
  <dcterms:created xsi:type="dcterms:W3CDTF">2013-12-23T23:15:00Z</dcterms:created>
  <dcterms:modified xsi:type="dcterms:W3CDTF">2013-12-23T23:15:00Z</dcterms:modified>
  <cp:category/>
</cp:coreProperties>
</file>