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B77A00"/>
          <w:sz w:val="20"/>
        </w:rPr>
        <w:t>ENGINEERING ASSISTANT · ОПЕРАЦИОННОЕ РУКОВОДСТВО</w:t>
      </w:r>
    </w:p>
    <w:p>
      <w:pPr>
        <w:spacing w:after="160"/>
      </w:pPr>
      <w:r>
        <w:rPr>
          <w:rFonts w:ascii="Calibri" w:hAnsi="Calibri"/>
          <w:b/>
          <w:color w:val="17324D"/>
          <w:sz w:val="62"/>
        </w:rPr>
        <w:t>Как проверять и улучшать</w:t>
        <w:br/>
        <w:t>RAG + MCP + агентов + skills</w:t>
      </w:r>
    </w:p>
    <w:p>
      <w:pPr>
        <w:spacing w:after="440"/>
      </w:pPr>
      <w:r>
        <w:rPr>
          <w:rFonts w:ascii="Calibri" w:hAnsi="Calibri"/>
          <w:color w:val="607080"/>
          <w:sz w:val="27"/>
        </w:rPr>
        <w:t>Проект HEL / R44: фактическая архитектура, точки вызова, единый бенчмарк, диагностика качества и безопасный путь внедрения без регрессии.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230"/>
        <w:gridCol w:w="1450"/>
        <w:gridCol w:w="3230"/>
      </w:tblGrid>
      <w:tr>
        <w:trPr>
          <w:cantSplit/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8"/>
              </w:rPr>
              <w:t>Параметр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8"/>
              </w:rPr>
              <w:t>Значение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8"/>
              </w:rPr>
              <w:t>Параметр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8"/>
              </w:rPr>
              <w:t>Проект</w:t>
            </w:r>
          </w:p>
        </w:tc>
        <w:tc>
          <w:tcPr>
            <w:tcW w:type="dxa" w:w="323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8"/>
              </w:rPr>
              <w:t>HEL · Проект под вертолёт</w:t>
            </w:r>
          </w:p>
        </w:tc>
        <w:tc>
          <w:tcPr>
            <w:tcW w:type="dxa" w:w="14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8"/>
              </w:rPr>
              <w:t>Корпус</w:t>
            </w:r>
          </w:p>
        </w:tc>
        <w:tc>
          <w:tcPr>
            <w:tcW w:type="dxa" w:w="323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8"/>
              </w:rPr>
              <w:t>R44 · РЛЭ, 2004</w:t>
            </w:r>
          </w:p>
        </w:tc>
      </w:tr>
      <w:tr>
        <w:trPr>
          <w:cantSplit/>
        </w:trPr>
        <w:tc>
          <w:tcPr>
            <w:tcW w:type="dxa" w:w="145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8"/>
              </w:rPr>
              <w:t>Дата среза</w:t>
            </w:r>
          </w:p>
        </w:tc>
        <w:tc>
          <w:tcPr>
            <w:tcW w:type="dxa" w:w="323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8"/>
              </w:rPr>
              <w:t>25.08.2026</w:t>
            </w:r>
          </w:p>
        </w:tc>
        <w:tc>
          <w:tcPr>
            <w:tcW w:type="dxa" w:w="145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8"/>
              </w:rPr>
              <w:t>Ветка</w:t>
            </w:r>
          </w:p>
        </w:tc>
        <w:tc>
          <w:tcPr>
            <w:tcW w:type="dxa" w:w="323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8"/>
              </w:rPr>
              <w:t>codex/r44-rag-mcp-benchmark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8"/>
              </w:rPr>
              <w:t>Gold dataset</w:t>
            </w:r>
          </w:p>
        </w:tc>
        <w:tc>
          <w:tcPr>
            <w:tcW w:type="dxa" w:w="323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8"/>
              </w:rPr>
              <w:t>50 концептов / 150 формулировок</w:t>
            </w:r>
          </w:p>
        </w:tc>
        <w:tc>
          <w:tcPr>
            <w:tcW w:type="dxa" w:w="14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8"/>
              </w:rPr>
              <w:t>System suites</w:t>
            </w:r>
          </w:p>
        </w:tc>
        <w:tc>
          <w:tcPr>
            <w:tcW w:type="dxa" w:w="323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8"/>
              </w:rPr>
              <w:t>60 сценариев</w:t>
            </w:r>
          </w:p>
        </w:tc>
      </w:tr>
      <w:tr>
        <w:trPr>
          <w:cantSplit/>
        </w:trPr>
        <w:tc>
          <w:tcPr>
            <w:tcW w:type="dxa" w:w="145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8"/>
              </w:rPr>
              <w:t>Режим</w:t>
            </w:r>
          </w:p>
        </w:tc>
        <w:tc>
          <w:tcPr>
            <w:tcW w:type="dxa" w:w="323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8"/>
              </w:rPr>
              <w:t>Shadow-first</w:t>
            </w:r>
          </w:p>
        </w:tc>
        <w:tc>
          <w:tcPr>
            <w:tcW w:type="dxa" w:w="145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8"/>
              </w:rPr>
              <w:t>Production mutation</w:t>
            </w:r>
          </w:p>
        </w:tc>
        <w:tc>
          <w:tcPr>
            <w:tcW w:type="dxa" w:w="323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8"/>
              </w:rPr>
              <w:t>Нет</w:t>
            </w:r>
          </w:p>
        </w:tc>
      </w:tr>
    </w:tbl>
    <w:p>
      <w:pPr>
        <w:pStyle w:val="TableCitation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5F4EA" w:val="clear"/>
          </w:tcPr>
          <w:p>
            <w:pPr>
              <w:pStyle w:val="Callout"/>
            </w:pPr>
            <w:r/>
            <w:r>
              <w:rPr>
                <w:b/>
                <w:color w:val="2D7A52"/>
              </w:rPr>
              <w:t xml:space="preserve">Короткий ответ. </w:t>
            </w:r>
            <w:r>
              <w:rPr>
                <w:color w:val="17324D"/>
              </w:rPr>
              <w:t>RAG будет работать, если пройти измеримые gates по ingestion, recall, цитатам и ACL. MCP не заменяет RAG: он добавляет изменяемые внешние факты и действия. Агенты и skills управляют декомпозицией и форматом результата, но не расширяют права доступа.</w:t>
            </w:r>
          </w:p>
        </w:tc>
      </w:tr>
    </w:tbl>
    <w:p>
      <w:pPr>
        <w:pStyle w:val="TableCitation"/>
      </w:pPr>
    </w:p>
    <w:p>
      <w:pPr>
        <w:spacing w:before="360"/>
        <w:pBdr>
          <w:bottom w:val="single" w:sz="10" w:space="4" w:color="CBD5DF"/>
        </w:pBdr>
      </w:pPr>
    </w:p>
    <w:p>
      <w:r>
        <w:rPr>
          <w:b/>
          <w:color w:val="17324D"/>
        </w:rPr>
        <w:t>Статус live-интеграции на момент проверки</w:t>
      </w:r>
    </w:p>
    <w:p>
      <w:r>
        <w:t>Tech Helper MCP зарегистрирован отдельно (10 tools, project HEL, research), но upstream возвращает mcp_upstream_unavailable. Поэтому положительные сценарии MCP сейчас проверяются mock/replay; live-сценарии должны честно завершаться blocked/degraded. Это не является отказом project RAG.</w:t>
      </w:r>
    </w:p>
    <w:p>
      <w:r>
        <w:br w:type="page"/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21953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arget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95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07080"/>
          <w:sz w:val="17"/>
        </w:rPr>
        <w:t>Схема 1. Логикой исполнения управляет LangGraph; знания и инструменты подключаются через отдельные шлюзы.</w:t>
      </w:r>
    </w:p>
    <w:p>
      <w:pPr>
        <w:pStyle w:val="Heading1"/>
      </w:pPr>
      <w:r>
        <w:t>1. Что используется сейчас</w:t>
      </w:r>
    </w:p>
    <w:p>
      <w:r>
        <w:t>В коде основным runtime является LangGraph: StateGraph присутствует в agent_graph.py, case_workflow.py и requirements_workflow.py. RunExecutor создаёт LangGraphRuntimeAdapter по умолчанию. OpenClaw реализован как отдельный HTTP-adapter и включается только feature flag; Cloud.ru Managed RAG также является опциональным backend.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520"/>
        <w:gridCol w:w="4240"/>
      </w:tblGrid>
      <w:tr>
        <w:trPr>
          <w:cantSplit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7"/>
              </w:rPr>
              <w:t>Слой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7"/>
              </w:rPr>
              <w:t>Фактическое решение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7"/>
              </w:rPr>
              <w:t>Что важно пользователю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Оркестрация</w:t>
            </w:r>
          </w:p>
        </w:tc>
        <w:tc>
          <w:tcPr>
            <w:tcW w:type="dxa" w:w="352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LangGraph, наблюдаемый граф агентов</w:t>
            </w:r>
          </w:p>
        </w:tc>
        <w:tc>
          <w:tcPr>
            <w:tcW w:type="dxa" w:w="42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Должен показывать route, специалистов, reviewer и outcome</w:t>
            </w:r>
          </w:p>
        </w:tc>
      </w:tr>
      <w:tr>
        <w:trPr>
          <w:cantSplit/>
        </w:trPr>
        <w:tc>
          <w:tcPr>
            <w:tcW w:type="dxa" w:w="16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Project RAG</w:t>
            </w:r>
          </w:p>
        </w:tc>
        <w:tc>
          <w:tcPr>
            <w:tcW w:type="dxa" w:w="352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Custom hybrid: exact/BM25 + optional dense/Qdrant + rerank</w:t>
            </w:r>
          </w:p>
        </w:tc>
        <w:tc>
          <w:tcPr>
            <w:tcW w:type="dxa" w:w="424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Эффективный backend фиксируется на каждый run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Managed RAG</w:t>
            </w:r>
          </w:p>
        </w:tc>
        <w:tc>
          <w:tcPr>
            <w:tcW w:type="dxa" w:w="352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Cloud.ru adapter, не default</w:t>
            </w:r>
          </w:p>
        </w:tc>
        <w:tc>
          <w:tcPr>
            <w:tcW w:type="dxa" w:w="42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Включать только отдельно от смены runtime</w:t>
            </w:r>
          </w:p>
        </w:tc>
      </w:tr>
      <w:tr>
        <w:trPr>
          <w:cantSplit/>
        </w:trPr>
        <w:tc>
          <w:tcPr>
            <w:tcW w:type="dxa" w:w="16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OpenClaw</w:t>
            </w:r>
          </w:p>
        </w:tc>
        <w:tc>
          <w:tcPr>
            <w:tcW w:type="dxa" w:w="352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Отдельный процесс, research-only canary</w:t>
            </w:r>
          </w:p>
        </w:tc>
        <w:tc>
          <w:tcPr>
            <w:tcW w:type="dxa" w:w="424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Получает готовый brief и project envelope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MCP</w:t>
            </w:r>
          </w:p>
        </w:tc>
        <w:tc>
          <w:tcPr>
            <w:tcW w:type="dxa" w:w="352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Registry, binding, approval, audit</w:t>
            </w:r>
          </w:p>
        </w:tc>
        <w:tc>
          <w:tcPr>
            <w:tcW w:type="dxa" w:w="42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Read-only разрешение — один чат; revoke возвращает gate</w:t>
            </w:r>
          </w:p>
        </w:tc>
      </w:tr>
      <w:tr>
        <w:trPr>
          <w:cantSplit/>
        </w:trPr>
        <w:tc>
          <w:tcPr>
            <w:tcW w:type="dxa" w:w="16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Skills</w:t>
            </w:r>
          </w:p>
        </w:tc>
        <w:tc>
          <w:tcPr>
            <w:tcW w:type="dxa" w:w="352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Версионируемые инструкции, привязанные к агентам</w:t>
            </w:r>
          </w:p>
        </w:tc>
        <w:tc>
          <w:tcPr>
            <w:tcW w:type="dxa" w:w="424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Skill не расширяет agent/tool/project ACL</w:t>
            </w:r>
          </w:p>
        </w:tc>
      </w:tr>
    </w:tbl>
    <w:p>
      <w:pPr>
        <w:pStyle w:val="TableCitation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 w:val="clear"/>
          </w:tcPr>
          <w:p>
            <w:pPr>
              <w:pStyle w:val="Callout"/>
            </w:pPr>
            <w:r/>
            <w:r>
              <w:rPr>
                <w:b/>
                <w:color w:val="B77A00"/>
              </w:rPr>
              <w:t xml:space="preserve">Не смешивать переключения. </w:t>
            </w:r>
            <w:r>
              <w:rPr>
                <w:color w:val="17324D"/>
              </w:rPr>
              <w:t>Сначала сравнивается новый контракт на старом RAG, затем оптимизация LangGraph, затем Managed RAG, и только после этого OpenClaw. Иначе нельзя установить причину улучшения или регрессии.</w:t>
            </w:r>
          </w:p>
        </w:tc>
      </w:tr>
    </w:tbl>
    <w:p>
      <w:pPr>
        <w:pStyle w:val="TableCitation"/>
      </w:pPr>
    </w:p>
    <w:p>
      <w:pPr>
        <w:pStyle w:val="Heading1"/>
      </w:pPr>
      <w:r>
        <w:t>2. Ingestion: от скана до поискового блока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21953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ges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95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07080"/>
          <w:sz w:val="17"/>
        </w:rPr>
        <w:t>Схема 2. Ошибка ответа может возникнуть до LLM — на OCR, нормализации, canonical grouping или chunking.</w:t>
      </w:r>
    </w:p>
    <w:p>
      <w:r>
        <w:t>Для R44 зафиксирован канонический PDF DOC-E6959D3E495FCBB0 и производные Markdown/JPEG. Страницы 60 и 74 отмечены quarantine. Бенчмарк не разрешает использовать их как надёжное evidence до прохождения OCR/visual gate.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120"/>
        <w:gridCol w:w="1800"/>
        <w:gridCol w:w="334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7"/>
              </w:rPr>
              <w:t>Проверка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7"/>
              </w:rPr>
              <w:t>Метрика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7"/>
              </w:rPr>
              <w:t>Release gate</w:t>
            </w:r>
          </w:p>
        </w:tc>
        <w:tc>
          <w:tcPr>
            <w:tcW w:type="dxa" w:w="3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7"/>
              </w:rPr>
              <w:t>Если не пройдено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Текстовый слой PDF</w:t>
            </w:r>
          </w:p>
        </w:tc>
        <w:tc>
          <w:tcPr>
            <w:tcW w:type="dxa" w:w="212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Character accuracy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≥ 98%</w:t>
            </w:r>
          </w:p>
        </w:tc>
        <w:tc>
          <w:tcPr>
            <w:tcW w:type="dxa" w:w="33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Исправить parser/OCR до изменения retrieval</w:t>
            </w:r>
          </w:p>
        </w:tc>
      </w:tr>
      <w:tr>
        <w:trPr>
          <w:cantSplit/>
        </w:trPr>
        <w:tc>
          <w:tcPr>
            <w:tcW w:type="dxa" w:w="21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Слова и термины</w:t>
            </w:r>
          </w:p>
        </w:tc>
        <w:tc>
          <w:tcPr>
            <w:tcW w:type="dxa" w:w="212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Word accuracy</w:t>
            </w:r>
          </w:p>
        </w:tc>
        <w:tc>
          <w:tcPr>
            <w:tcW w:type="dxa" w:w="18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≥ 95%</w:t>
            </w:r>
          </w:p>
        </w:tc>
        <w:tc>
          <w:tcPr>
            <w:tcW w:type="dxa" w:w="334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Добавить словарь/языковую модель OCR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Числа и единицы</w:t>
            </w:r>
          </w:p>
        </w:tc>
        <w:tc>
          <w:tcPr>
            <w:tcW w:type="dxa" w:w="212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Critical token accuracy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100%</w:t>
            </w:r>
          </w:p>
        </w:tc>
        <w:tc>
          <w:tcPr>
            <w:tcW w:type="dxa" w:w="33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Документ/страница остаётся quarantine</w:t>
            </w:r>
          </w:p>
        </w:tc>
      </w:tr>
      <w:tr>
        <w:trPr>
          <w:cantSplit/>
        </w:trPr>
        <w:tc>
          <w:tcPr>
            <w:tcW w:type="dxa" w:w="21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Таблицы</w:t>
            </w:r>
          </w:p>
        </w:tc>
        <w:tc>
          <w:tcPr>
            <w:tcW w:type="dxa" w:w="212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Строки, колонки, заголовки</w:t>
            </w:r>
          </w:p>
        </w:tc>
        <w:tc>
          <w:tcPr>
            <w:tcW w:type="dxa" w:w="18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Gold cells сохранены</w:t>
            </w:r>
          </w:p>
        </w:tc>
        <w:tc>
          <w:tcPr>
            <w:tcW w:type="dxa" w:w="334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Использовать table-aware blocks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Схемы</w:t>
            </w:r>
          </w:p>
        </w:tc>
        <w:tc>
          <w:tcPr>
            <w:tcW w:type="dxa" w:w="212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Стрелки, цвет, расположение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Visual evidence</w:t>
            </w:r>
          </w:p>
        </w:tc>
        <w:tc>
          <w:tcPr>
            <w:tcW w:type="dxa" w:w="33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Направить в vision, не полагаться на OCR</w:t>
            </w:r>
          </w:p>
        </w:tc>
      </w:tr>
    </w:tbl>
    <w:p>
      <w:pPr>
        <w:pStyle w:val="TableCitation"/>
      </w:pPr>
    </w:p>
    <w:p>
      <w:pPr>
        <w:pStyle w:val="Heading1"/>
      </w:pPr>
      <w:r>
        <w:t>3. Как работает Hybrid RAG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21953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ybrid_retriev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95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07080"/>
          <w:sz w:val="17"/>
        </w:rPr>
        <w:t>Схема 3. Managed RAG может заменить semantic-канал, но exact/BM25 и attachment index сохраняются.</w:t>
      </w:r>
    </w:p>
    <w:p>
      <w:r>
        <w:t>Перефразирование не должно превращаться в один «красивый» запрос. Для каждого deliverable формируется focused query, при этом исходный текст сохраняется в audit. Exact/BM25 страхует обозначения и числа, dense-канал — бытовые формулировки, RRF — объединение, rerank — приоритет кандидатов. Затем coverage grader решает, нужен ли повторный поиск, MCP, vision или уточнение пользователя.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pStyle w:val="Callout"/>
            </w:pPr>
            <w:r/>
            <w:r>
              <w:rPr>
                <w:b/>
                <w:color w:val="17324D"/>
              </w:rPr>
              <w:t xml:space="preserve">Cloud.ru Managed RAG. </w:t>
            </w:r>
            <w:r>
              <w:rPr>
                <w:color w:val="17324D"/>
              </w:rPr>
              <w:t>Не заменяет всю схему. Он может стать primary semantic backend только после A/B-теста. Exact BM25, локальный индекс вложений и custom backend остаются как независимые каналы и fallback.</w:t>
            </w:r>
          </w:p>
        </w:tc>
      </w:tr>
    </w:tbl>
    <w:p>
      <w:pPr>
        <w:pStyle w:val="TableCitation"/>
      </w:pPr>
    </w:p>
    <w:p>
      <w:pPr>
        <w:pStyle w:val="Heading1"/>
      </w:pPr>
      <w:r>
        <w:t>4. Где LangGraph управляет логикой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21953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query_runti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95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07080"/>
          <w:sz w:val="17"/>
        </w:rPr>
        <w:t>Схема 4. LangGraph отвечает за переходы и условия; модель предлагает brief/route, но валидатор ограничивает их.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760"/>
        <w:gridCol w:w="390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7"/>
              </w:rPr>
              <w:t>Узел графа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7"/>
              </w:rPr>
              <w:t>Управляющее решение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7"/>
              </w:rPr>
              <w:t>Детерминированная защита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prepare</w:t>
            </w:r>
          </w:p>
        </w:tc>
        <w:tc>
          <w:tcPr>
            <w:tcW w:type="dxa" w:w="3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Скомпилировать ExecutionBriefV1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Project ACL, разрешённые modes и sources</w:t>
            </w:r>
          </w:p>
        </w:tc>
      </w:tr>
      <w:tr>
        <w:trPr>
          <w:cantSplit/>
        </w:trPr>
        <w:tc>
          <w:tcPr>
            <w:tcW w:type="dxa" w:w="17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clarify</w:t>
            </w:r>
          </w:p>
        </w:tc>
        <w:tc>
          <w:tcPr>
            <w:tcW w:type="dxa" w:w="376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Поставить awaiting_input</w:t>
            </w:r>
          </w:p>
        </w:tc>
        <w:tc>
          <w:tcPr>
            <w:tcW w:type="dxa" w:w="39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До 3 вопросов, максимум 2 цикла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route</w:t>
            </w:r>
          </w:p>
        </w:tc>
        <w:tc>
          <w:tcPr>
            <w:tcW w:type="dxa" w:w="3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fast / standard / critical; выбор агентов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Reviewer обязателен для critical</w:t>
            </w:r>
          </w:p>
        </w:tc>
      </w:tr>
      <w:tr>
        <w:trPr>
          <w:cantSplit/>
        </w:trPr>
        <w:tc>
          <w:tcPr>
            <w:tcW w:type="dxa" w:w="17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retrieve</w:t>
            </w:r>
          </w:p>
        </w:tc>
        <w:tc>
          <w:tcPr>
            <w:tcW w:type="dxa" w:w="376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Focused queries, top-k, соседний контекст</w:t>
            </w:r>
          </w:p>
        </w:tc>
        <w:tc>
          <w:tcPr>
            <w:tcW w:type="dxa" w:w="39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Не более 2 rewrite; effective backend в trace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tool_plan</w:t>
            </w:r>
          </w:p>
        </w:tc>
        <w:tc>
          <w:tcPr>
            <w:tcW w:type="dxa" w:w="3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Какие MCP tools нужны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Binding agent→tool, read-only/mutating policy</w:t>
            </w:r>
          </w:p>
        </w:tc>
      </w:tr>
      <w:tr>
        <w:trPr>
          <w:cantSplit/>
        </w:trPr>
        <w:tc>
          <w:tcPr>
            <w:tcW w:type="dxa" w:w="17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fan_out</w:t>
            </w:r>
          </w:p>
        </w:tc>
        <w:tc>
          <w:tcPr>
            <w:tcW w:type="dxa" w:w="376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AgentTaskV1 каждому специалисту</w:t>
            </w:r>
          </w:p>
        </w:tc>
        <w:tc>
          <w:tcPr>
            <w:tcW w:type="dxa" w:w="39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Отдельные deliverables и разрешённые sources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review</w:t>
            </w:r>
          </w:p>
        </w:tc>
        <w:tc>
          <w:tcPr>
            <w:tcW w:type="dxa" w:w="3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Claim-by-claim проверка</w:t>
            </w:r>
          </w:p>
        </w:tc>
        <w:tc>
          <w:tcPr>
            <w:tcW w:type="dxa" w:w="3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local_retrieval/fallback не может стать success</w:t>
            </w:r>
          </w:p>
        </w:tc>
      </w:tr>
      <w:tr>
        <w:trPr>
          <w:cantSplit/>
        </w:trPr>
        <w:tc>
          <w:tcPr>
            <w:tcW w:type="dxa" w:w="17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finalize</w:t>
            </w:r>
          </w:p>
        </w:tc>
        <w:tc>
          <w:tcPr>
            <w:tcW w:type="dxa" w:w="376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RunOutcomeV1 и UI projection</w:t>
            </w:r>
          </w:p>
        </w:tc>
        <w:tc>
          <w:tcPr>
            <w:tcW w:type="dxa" w:w="39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После terminal нет running steps</w:t>
            </w:r>
          </w:p>
        </w:tc>
      </w:tr>
    </w:tbl>
    <w:p>
      <w:pPr>
        <w:pStyle w:val="TableCitation"/>
      </w:pPr>
    </w:p>
    <w:p>
      <w:r>
        <w:br w:type="page"/>
      </w:r>
    </w:p>
    <w:p>
      <w:pPr>
        <w:pStyle w:val="Heading1"/>
      </w:pPr>
      <w:r>
        <w:t>5. Роль каждого агента и skill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21953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gents_skil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95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07080"/>
          <w:sz w:val="17"/>
        </w:rPr>
        <w:t>Схема 5. Skill повышает специализацию ответа, но не даёт новых документов, tools или разрешений.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2160"/>
        <w:gridCol w:w="2900"/>
        <w:gridCol w:w="2750"/>
      </w:tblGrid>
      <w:tr>
        <w:trPr>
          <w:cantSplit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6"/>
              </w:rPr>
              <w:t>Агент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6"/>
              </w:rPr>
              <w:t>Skill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6"/>
              </w:rPr>
              <w:t>Обязательный результат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6"/>
              </w:rPr>
              <w:t>Блокирующее условие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case_orchestrator</w:t>
            </w:r>
          </w:p>
        </w:tc>
        <w:tc>
          <w:tcPr>
            <w:tcW w:type="dxa" w:w="21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orchestrate-evidence-and-tools (candidate)</w:t>
            </w:r>
          </w:p>
        </w:tc>
        <w:tc>
          <w:tcPr>
            <w:tcW w:type="dxa" w:w="2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ExecutionBrief + AgentTask + source plan</w:t>
            </w:r>
          </w:p>
        </w:tc>
        <w:tc>
          <w:tcPr>
            <w:tcW w:type="dxa" w:w="27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Неясная цель, объект, период или отсутствующий tool</w:t>
            </w:r>
          </w:p>
        </w:tc>
      </w:tr>
      <w:tr>
        <w:trPr>
          <w:cantSplit/>
        </w:trPr>
        <w:tc>
          <w:tcPr>
            <w:tcW w:type="dxa" w:w="155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evidence_curator</w:t>
            </w:r>
          </w:p>
        </w:tc>
        <w:tc>
          <w:tcPr>
            <w:tcW w:type="dxa" w:w="216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research-document-evidence</w:t>
            </w:r>
          </w:p>
        </w:tc>
        <w:tc>
          <w:tcPr>
            <w:tcW w:type="dxa" w:w="29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Evidence set + coverage</w:t>
            </w:r>
          </w:p>
        </w:tc>
        <w:tc>
          <w:tcPr>
            <w:tcW w:type="dxa" w:w="275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Нельзя говорить «во всём корпусе нет» по top-k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requirements_designer</w:t>
            </w:r>
          </w:p>
        </w:tc>
        <w:tc>
          <w:tcPr>
            <w:tcW w:type="dxa" w:w="21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analyze-requirements</w:t>
            </w:r>
          </w:p>
        </w:tc>
        <w:tc>
          <w:tcPr>
            <w:tcW w:type="dxa" w:w="2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Атомарные требования</w:t>
            </w:r>
          </w:p>
        </w:tc>
        <w:tc>
          <w:tcPr>
            <w:tcW w:type="dxa" w:w="27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Эксплуатационное ограничение ≠ автоматическое проектное требование</w:t>
            </w:r>
          </w:p>
        </w:tc>
      </w:tr>
      <w:tr>
        <w:trPr>
          <w:cantSplit/>
        </w:trPr>
        <w:tc>
          <w:tcPr>
            <w:tcW w:type="dxa" w:w="155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competitor_reviewer</w:t>
            </w:r>
          </w:p>
        </w:tc>
        <w:tc>
          <w:tcPr>
            <w:tcW w:type="dxa" w:w="216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compare-document-evidence</w:t>
            </w:r>
          </w:p>
        </w:tc>
        <w:tc>
          <w:tcPr>
            <w:tcW w:type="dxa" w:w="29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Сравнительная матрица</w:t>
            </w:r>
          </w:p>
        </w:tc>
        <w:tc>
          <w:tcPr>
            <w:tcW w:type="dxa" w:w="275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Менее двух объектов/нет общих критериев</w:t>
            </w:r>
          </w:p>
        </w:tc>
      </w:tr>
      <w:tr>
        <w:trPr>
          <w:cantSplit/>
        </w:trPr>
        <w:tc>
          <w:tcPr>
            <w:tcW w:type="dxa" w:w="15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component_screener</w:t>
            </w:r>
          </w:p>
        </w:tc>
        <w:tc>
          <w:tcPr>
            <w:tcW w:type="dxa" w:w="21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evaluate-options</w:t>
            </w:r>
          </w:p>
        </w:tc>
        <w:tc>
          <w:tcPr>
            <w:tcW w:type="dxa" w:w="29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Evidence-gap matrix</w:t>
            </w:r>
          </w:p>
        </w:tc>
        <w:tc>
          <w:tcPr>
            <w:tcW w:type="dxa" w:w="27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Цена/поставщик/срок без внешнего SourceRef</w:t>
            </w:r>
          </w:p>
        </w:tc>
      </w:tr>
      <w:tr>
        <w:trPr>
          <w:cantSplit/>
        </w:trPr>
        <w:tc>
          <w:tcPr>
            <w:tcW w:type="dxa" w:w="155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case_reviewer</w:t>
            </w:r>
          </w:p>
        </w:tc>
        <w:tc>
          <w:tcPr>
            <w:tcW w:type="dxa" w:w="216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review-grounded-analysis</w:t>
            </w:r>
          </w:p>
        </w:tc>
        <w:tc>
          <w:tcPr>
            <w:tcW w:type="dxa" w:w="29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ReviewVerdict claim-by-claim</w:t>
            </w:r>
          </w:p>
        </w:tc>
        <w:tc>
          <w:tcPr>
            <w:tcW w:type="dxa" w:w="275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Не используется как draft-специалист</w:t>
            </w:r>
          </w:p>
        </w:tc>
      </w:tr>
    </w:tbl>
    <w:p>
      <w:pPr>
        <w:pStyle w:val="TableCitation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 w:val="clear"/>
          </w:tcPr>
          <w:p>
            <w:pPr>
              <w:pStyle w:val="Callout"/>
            </w:pPr>
            <w:r/>
            <w:r>
              <w:rPr>
                <w:b/>
                <w:color w:val="B77A00"/>
              </w:rPr>
              <w:t xml:space="preserve">Безопасное включение нового skill. </w:t>
            </w:r>
            <w:r>
              <w:rPr>
                <w:color w:val="17324D"/>
              </w:rPr>
              <w:t>orchestrate-evidence-and-tools добавлен как candidate и включён в benchmark mapping, но не привязан к production-каталогу агентов по умолчанию. Promotion возможен только после agent/skill/source-plan gates.</w:t>
            </w:r>
          </w:p>
        </w:tc>
      </w:tr>
    </w:tbl>
    <w:p>
      <w:pPr>
        <w:pStyle w:val="TableCitation"/>
      </w:pPr>
    </w:p>
    <w:p>
      <w:r>
        <w:br w:type="page"/>
      </w:r>
    </w:p>
    <w:p>
      <w:pPr>
        <w:pStyle w:val="Heading1"/>
      </w:pPr>
      <w:r>
        <w:t>6. Как вместе работают MCP и RAG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21953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ag_mc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95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07080"/>
          <w:sz w:val="17"/>
        </w:rPr>
        <w:t>Схема 6. Project RAG не приостанавливается на approval; найденное evidence сохраняется до resume.</w:t>
      </w:r>
    </w:p>
    <w:p>
      <w:r>
        <w:t>Пример: «Найди ограничение в РЛЭ и текущее состояние workflow». Ограничение подтверждается project_document SourceRef. Состояние workflow подтверждается MCP SourceRef с observed_at. Если Tech Helper недоступен, ответ может содержать документальную часть, но outcome будет partial/blocked, а не success. Цена и поставщик не запрашиваются через Tech Helper: для них требуется отдельный vendor/catalog MCP.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160"/>
        <w:gridCol w:w="2380"/>
        <w:gridCol w:w="252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7"/>
              </w:rPr>
              <w:t>Запрос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7"/>
              </w:rPr>
              <w:t>Источник</w:t>
            </w:r>
          </w:p>
        </w:tc>
        <w:tc>
          <w:tcPr>
            <w:tcW w:type="dxa" w:w="2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7"/>
              </w:rPr>
              <w:t>Approval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7"/>
              </w:rPr>
              <w:t>Обязательный locator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Факт из РЛЭ</w:t>
            </w:r>
          </w:p>
        </w:tc>
        <w:tc>
          <w:tcPr>
            <w:tcW w:type="dxa" w:w="21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project_rag</w:t>
            </w:r>
          </w:p>
        </w:tc>
        <w:tc>
          <w:tcPr>
            <w:tcW w:type="dxa" w:w="238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Нет</w:t>
            </w:r>
          </w:p>
        </w:tc>
        <w:tc>
          <w:tcPr>
            <w:tcW w:type="dxa" w:w="252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document_id, chunk_id, page/section</w:t>
            </w:r>
          </w:p>
        </w:tc>
      </w:tr>
      <w:tr>
        <w:trPr>
          <w:cantSplit/>
        </w:trPr>
        <w:tc>
          <w:tcPr>
            <w:tcW w:type="dxa" w:w="23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Файл текущего чата</w:t>
            </w:r>
          </w:p>
        </w:tc>
        <w:tc>
          <w:tcPr>
            <w:tcW w:type="dxa" w:w="216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conversation_attachments</w:t>
            </w:r>
          </w:p>
        </w:tc>
        <w:tc>
          <w:tcPr>
            <w:tcW w:type="dxa" w:w="238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Нет, если доступ уже есть</w:t>
            </w:r>
          </w:p>
        </w:tc>
        <w:tc>
          <w:tcPr>
            <w:tcW w:type="dxa" w:w="252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attachment_id, page/region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Состояние workflow/job</w:t>
            </w:r>
          </w:p>
        </w:tc>
        <w:tc>
          <w:tcPr>
            <w:tcW w:type="dxa" w:w="21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Tech Helper MCP</w:t>
            </w:r>
          </w:p>
        </w:tc>
        <w:tc>
          <w:tcPr>
            <w:tcW w:type="dxa" w:w="238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Один раз на чат для read-only</w:t>
            </w:r>
          </w:p>
        </w:tc>
        <w:tc>
          <w:tcPr>
            <w:tcW w:type="dxa" w:w="252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server, tool, call_id, observed_at</w:t>
            </w:r>
          </w:p>
        </w:tc>
      </w:tr>
      <w:tr>
        <w:trPr>
          <w:cantSplit/>
        </w:trPr>
        <w:tc>
          <w:tcPr>
            <w:tcW w:type="dxa" w:w="23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Создать/изменить объект</w:t>
            </w:r>
          </w:p>
        </w:tc>
        <w:tc>
          <w:tcPr>
            <w:tcW w:type="dxa" w:w="216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Mutating MCP</w:t>
            </w:r>
          </w:p>
        </w:tc>
        <w:tc>
          <w:tcPr>
            <w:tcW w:type="dxa" w:w="238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Всегда отдельно на run</w:t>
            </w:r>
          </w:p>
        </w:tc>
        <w:tc>
          <w:tcPr>
            <w:tcW w:type="dxa" w:w="252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approval_id + tool result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Цена/поставщик/срок</w:t>
            </w:r>
          </w:p>
        </w:tc>
        <w:tc>
          <w:tcPr>
            <w:tcW w:type="dxa" w:w="21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Vendor/catalog MCP</w:t>
            </w:r>
          </w:p>
        </w:tc>
        <w:tc>
          <w:tcPr>
            <w:tcW w:type="dxa" w:w="238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По политике внешнего источника</w:t>
            </w:r>
          </w:p>
        </w:tc>
        <w:tc>
          <w:tcPr>
            <w:tcW w:type="dxa" w:w="252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URL/catalog id + observed_at</w:t>
            </w:r>
          </w:p>
        </w:tc>
      </w:tr>
    </w:tbl>
    <w:p>
      <w:pPr>
        <w:pStyle w:val="TableCitation"/>
      </w:pPr>
    </w:p>
    <w:p>
      <w:r>
        <w:br w:type="page"/>
      </w:r>
    </w:p>
    <w:p>
      <w:pPr>
        <w:pStyle w:val="Heading1"/>
      </w:pPr>
      <w:r>
        <w:t>7. Approval, resume, cancel и audit MCP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21953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pprov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95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07080"/>
          <w:sz w:val="17"/>
        </w:rPr>
        <w:t>Схема 7. TTL заменён на разрешение в границах одной беседы для read-only tools; отзыв остаётся явным.</w:t>
      </w:r>
    </w:p>
    <w:p>
      <w:pPr>
        <w:pStyle w:val="ListBullet"/>
      </w:pPr>
      <w:r>
        <w:t>Повторный запрос разрешения в одном чате считается regression, если набор read-only tool ids уже разрешён.</w:t>
      </w:r>
    </w:p>
    <w:p>
      <w:pPr>
        <w:pStyle w:val="ListBullet"/>
      </w:pPr>
      <w:r>
        <w:t>Cancel во время awaiting_approval должен остановить run; внешний процесс получает cancellation handshake.</w:t>
      </w:r>
    </w:p>
    <w:p>
      <w:pPr>
        <w:pStyle w:val="ListBullet"/>
      </w:pPr>
      <w:r>
        <w:t>Audit хранит server/tool, agent, skill version/hash, approval scope, latency, status, reason_code, observed_at и redacted summary.</w:t>
      </w:r>
    </w:p>
    <w:p>
      <w:pPr>
        <w:pStyle w:val="ListBullet"/>
      </w:pPr>
      <w:r>
        <w:t>Audit не хранит секреты, raw system prompt и скрытые рассуждения модели.</w:t>
      </w:r>
    </w:p>
    <w:p>
      <w:r>
        <w:br w:type="page"/>
      </w:r>
    </w:p>
    <w:p>
      <w:pPr>
        <w:pStyle w:val="Heading1"/>
      </w:pPr>
      <w:r>
        <w:t>8. Бенчмарк одного документа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21953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enchmar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95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/>
          <w:i/>
          <w:color w:val="607080"/>
          <w:sz w:val="17"/>
        </w:rPr>
        <w:t>Схема 8. Сначала локализуем слой ошибки, затем меняем ровно один параметр и повторяем dev.</w:t>
      </w:r>
    </w:p>
    <w:p>
      <w:r>
        <w:t>Excel-книга R44_RAG_MCP_Benchmark.xlsx является одновременно gold-набором и журналом прогонов. В Gold_Cases заложено 50 концептов, каждый в трёх формулировках: профессиональной, бытовой и шумной. Это 150 retrieval-only запросов. System_Suites содержит 60 сценариев по каталогу, контексту чата, агентам/skills, RAG+MCP, orchestration, policy и logging. До инженерного подтверждения строки остаются draft.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870"/>
        <w:gridCol w:w="1760"/>
        <w:gridCol w:w="3280"/>
      </w:tblGrid>
      <w:tr>
        <w:trPr>
          <w:cantSplit/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7"/>
              </w:rPr>
              <w:t>Этап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7"/>
              </w:rPr>
              <w:t>Что измеряем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7"/>
              </w:rPr>
              <w:t>Порог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7"/>
              </w:rPr>
              <w:t>Типичная причина провала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Ingestion</w:t>
            </w:r>
          </w:p>
        </w:tc>
        <w:tc>
          <w:tcPr>
            <w:tcW w:type="dxa" w:w="287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OCR CER/WER, critical tokens</w:t>
            </w:r>
          </w:p>
        </w:tc>
        <w:tc>
          <w:tcPr>
            <w:tcW w:type="dxa" w:w="1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98% / 95% / 100%</w:t>
            </w:r>
          </w:p>
        </w:tc>
        <w:tc>
          <w:tcPr>
            <w:tcW w:type="dxa" w:w="328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Плохой скан, parser, таблица, quarantine</w:t>
            </w:r>
          </w:p>
        </w:tc>
      </w:tr>
      <w:tr>
        <w:trPr>
          <w:cantSplit/>
        </w:trPr>
        <w:tc>
          <w:tcPr>
            <w:tcW w:type="dxa" w:w="145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Retrieval</w:t>
            </w:r>
          </w:p>
        </w:tc>
        <w:tc>
          <w:tcPr>
            <w:tcW w:type="dxa" w:w="287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Recall@10 общий/critical</w:t>
            </w:r>
          </w:p>
        </w:tc>
        <w:tc>
          <w:tcPr>
            <w:tcW w:type="dxa" w:w="176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≥95% / 100%</w:t>
            </w:r>
          </w:p>
        </w:tc>
        <w:tc>
          <w:tcPr>
            <w:tcW w:type="dxa" w:w="328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Chunking, query rewrite, exact/dense, rerank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Ответ</w:t>
            </w:r>
          </w:p>
        </w:tc>
        <w:tc>
          <w:tcPr>
            <w:tcW w:type="dxa" w:w="287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Citation precision / grounded</w:t>
            </w:r>
          </w:p>
        </w:tc>
        <w:tc>
          <w:tcPr>
            <w:tcW w:type="dxa" w:w="1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≥95% / ≥90%</w:t>
            </w:r>
          </w:p>
        </w:tc>
        <w:tc>
          <w:tcPr>
            <w:tcW w:type="dxa" w:w="328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Синтез вышел за evidence</w:t>
            </w:r>
          </w:p>
        </w:tc>
      </w:tr>
      <w:tr>
        <w:trPr>
          <w:cantSplit/>
        </w:trPr>
        <w:tc>
          <w:tcPr>
            <w:tcW w:type="dxa" w:w="145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Agents</w:t>
            </w:r>
          </w:p>
        </w:tc>
        <w:tc>
          <w:tcPr>
            <w:tcW w:type="dxa" w:w="287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Agent и skill selection</w:t>
            </w:r>
          </w:p>
        </w:tc>
        <w:tc>
          <w:tcPr>
            <w:tcW w:type="dxa" w:w="176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≥95% / ≥95%</w:t>
            </w:r>
          </w:p>
        </w:tc>
        <w:tc>
          <w:tcPr>
            <w:tcW w:type="dxa" w:w="328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Неясный brief или слабый router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MCP</w:t>
            </w:r>
          </w:p>
        </w:tc>
        <w:tc>
          <w:tcPr>
            <w:tcW w:type="dxa" w:w="287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observed_at и tool match</w:t>
            </w:r>
          </w:p>
        </w:tc>
        <w:tc>
          <w:tcPr>
            <w:tcW w:type="dxa" w:w="1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100%</w:t>
            </w:r>
          </w:p>
        </w:tc>
        <w:tc>
          <w:tcPr>
            <w:tcW w:type="dxa" w:w="328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Не тот server/tool или потеря metadata</w:t>
            </w:r>
          </w:p>
        </w:tc>
      </w:tr>
      <w:tr>
        <w:trPr>
          <w:cantSplit/>
        </w:trPr>
        <w:tc>
          <w:tcPr>
            <w:tcW w:type="dxa" w:w="145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Security</w:t>
            </w:r>
          </w:p>
        </w:tc>
        <w:tc>
          <w:tcPr>
            <w:tcW w:type="dxa" w:w="287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ACL / bypass / repeated approval</w:t>
            </w:r>
          </w:p>
        </w:tc>
        <w:tc>
          <w:tcPr>
            <w:tcW w:type="dxa" w:w="176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Строго 0 нарушений</w:t>
            </w:r>
          </w:p>
        </w:tc>
        <w:tc>
          <w:tcPr>
            <w:tcW w:type="dxa" w:w="328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Scope/registry/resume defect</w:t>
            </w:r>
          </w:p>
        </w:tc>
      </w:tr>
    </w:tbl>
    <w:p>
      <w:pPr>
        <w:pStyle w:val="TableCitation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E7E7" w:val="clear"/>
          </w:tcPr>
          <w:p>
            <w:pPr>
              <w:pStyle w:val="Callout"/>
            </w:pPr>
            <w:r/>
            <w:r>
              <w:rPr>
                <w:b/>
                <w:color w:val="9B1C1C"/>
              </w:rPr>
              <w:t xml:space="preserve">Защита от подгонки. </w:t>
            </w:r>
            <w:r>
              <w:rPr>
                <w:color w:val="17324D"/>
              </w:rPr>
              <w:t>Настройка разрешена только по split=dev. После фиксации конфигурации запускается holdout. Gold claims/pages/chunks не передаются runtime — они используются только evaluator после получения результата.</w:t>
            </w:r>
          </w:p>
        </w:tc>
      </w:tr>
    </w:tbl>
    <w:p>
      <w:pPr>
        <w:pStyle w:val="TableCitation"/>
      </w:pPr>
    </w:p>
    <w:p>
      <w:r>
        <w:br w:type="page"/>
      </w:r>
    </w:p>
    <w:p>
      <w:pPr>
        <w:pStyle w:val="Heading1"/>
      </w:pPr>
      <w:r>
        <w:t>9. Как искать причину несовпадения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40"/>
        <w:gridCol w:w="2200"/>
        <w:gridCol w:w="2820"/>
        <w:gridCol w:w="2200"/>
      </w:tblGrid>
      <w:tr>
        <w:trPr>
          <w:cantSplit/>
          <w:tblHeader w:val="true"/>
        </w:trPr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6"/>
              </w:rPr>
              <w:t>Симптом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6"/>
              </w:rPr>
              <w:t>Проверить первым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6"/>
              </w:rPr>
              <w:t>Вероятная доработка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6"/>
              </w:rPr>
              <w:t>Не делать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В индексе нет правильного текста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Ingestion_QA</w:t>
            </w:r>
          </w:p>
        </w:tc>
        <w:tc>
          <w:tcPr>
            <w:tcW w:type="dxa" w:w="282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OCR/parser/table/visual pipeline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Не крутить prompt LLM</w:t>
            </w:r>
          </w:p>
        </w:tc>
      </w:tr>
      <w:tr>
        <w:trPr>
          <w:cantSplit/>
        </w:trPr>
        <w:tc>
          <w:tcPr>
            <w:tcW w:type="dxa" w:w="214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Gold block не попал top-10</w:t>
            </w:r>
          </w:p>
        </w:tc>
        <w:tc>
          <w:tcPr>
            <w:tcW w:type="dxa" w:w="22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Retrieval_Runs</w:t>
            </w:r>
          </w:p>
        </w:tc>
        <w:tc>
          <w:tcPr>
            <w:tcW w:type="dxa" w:w="282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Chunking, exact/dense, RRF, rewrite</w:t>
            </w:r>
          </w:p>
        </w:tc>
        <w:tc>
          <w:tcPr>
            <w:tcW w:type="dxa" w:w="22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Не оценивать только финальный ответ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Gold есть, но низкий rank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BM25/dense/RRF/rerank ranks</w:t>
            </w:r>
          </w:p>
        </w:tc>
        <w:tc>
          <w:tcPr>
            <w:tcW w:type="dxa" w:w="282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Reranker и focused query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Не увеличивать top-k бесконечно</w:t>
            </w:r>
          </w:p>
        </w:tc>
      </w:tr>
      <w:tr>
        <w:trPr>
          <w:cantSplit/>
        </w:trPr>
        <w:tc>
          <w:tcPr>
            <w:tcW w:type="dxa" w:w="214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Источник найден, ответ неверен</w:t>
            </w:r>
          </w:p>
        </w:tc>
        <w:tc>
          <w:tcPr>
            <w:tcW w:type="dxa" w:w="22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Claim↔SourceRef</w:t>
            </w:r>
          </w:p>
        </w:tc>
        <w:tc>
          <w:tcPr>
            <w:tcW w:type="dxa" w:w="282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Structured output + reviewer</w:t>
            </w:r>
          </w:p>
        </w:tc>
        <w:tc>
          <w:tcPr>
            <w:tcW w:type="dxa" w:w="22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Не считать ссылку доказательством релевантности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Цена взята из РЛЭ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source_plan</w:t>
            </w:r>
          </w:p>
        </w:tc>
        <w:tc>
          <w:tcPr>
            <w:tcW w:type="dxa" w:w="282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Классификатор mutable external facts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Не применять project RAG как market feed</w:t>
            </w:r>
          </w:p>
        </w:tc>
      </w:tr>
      <w:tr>
        <w:trPr>
          <w:cantSplit/>
        </w:trPr>
        <w:tc>
          <w:tcPr>
            <w:tcW w:type="dxa" w:w="214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MCP спросил 2–3 раза</w:t>
            </w:r>
          </w:p>
        </w:tc>
        <w:tc>
          <w:tcPr>
            <w:tcW w:type="dxa" w:w="22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approval_scope + conversation_id</w:t>
            </w:r>
          </w:p>
        </w:tc>
        <w:tc>
          <w:tcPr>
            <w:tcW w:type="dxa" w:w="282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inherit chat approval + idempotent resume</w:t>
            </w:r>
          </w:p>
        </w:tc>
        <w:tc>
          <w:tcPr>
            <w:tcW w:type="dxa" w:w="22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Не выдавать глобальное вечное разрешение</w:t>
            </w:r>
          </w:p>
        </w:tc>
      </w:tr>
      <w:tr>
        <w:trPr>
          <w:cantSplit/>
        </w:trPr>
        <w:tc>
          <w:tcPr>
            <w:tcW w:type="dxa" w:w="214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Агент вернул общий fallback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requested/effective model</w:t>
            </w:r>
          </w:p>
        </w:tc>
        <w:tc>
          <w:tcPr>
            <w:tcW w:type="dxa" w:w="282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Блокировать success, показать partial/fallback</w:t>
            </w:r>
          </w:p>
        </w:tc>
        <w:tc>
          <w:tcPr>
            <w:tcW w:type="dxa" w:w="22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Не скрывать ошибку моделью synthesis</w:t>
            </w:r>
          </w:p>
        </w:tc>
      </w:tr>
      <w:tr>
        <w:trPr>
          <w:cantSplit/>
        </w:trPr>
        <w:tc>
          <w:tcPr>
            <w:tcW w:type="dxa" w:w="214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В завершённом run есть «В работе»</w:t>
            </w:r>
          </w:p>
        </w:tc>
        <w:tc>
          <w:tcPr>
            <w:tcW w:type="dxa" w:w="22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run_steps projection</w:t>
            </w:r>
          </w:p>
        </w:tc>
        <w:tc>
          <w:tcPr>
            <w:tcW w:type="dxa" w:w="282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Terminal reconciliation / skipped reason</w:t>
            </w:r>
          </w:p>
        </w:tc>
        <w:tc>
          <w:tcPr>
            <w:tcW w:type="dxa" w:w="22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6"/>
              </w:rPr>
              <w:t>Не читать start-event как текущий статус</w:t>
            </w:r>
          </w:p>
        </w:tc>
      </w:tr>
    </w:tbl>
    <w:p>
      <w:pPr>
        <w:pStyle w:val="TableCitation"/>
      </w:pPr>
    </w:p>
    <w:p>
      <w:r>
        <w:br w:type="page"/>
      </w:r>
    </w:p>
    <w:p>
      <w:pPr>
        <w:pStyle w:val="Heading1"/>
      </w:pPr>
      <w:r>
        <w:t>10. Пошаговый безопасный rollout</w:t>
      </w:r>
    </w:p>
    <w:p>
      <w:pPr>
        <w:pStyle w:val="ListNumber"/>
      </w:pPr>
      <w:r>
        <w:t>Baseline: снять текущие retrieval/answer/latency/model/RAG/MCP метрики без переиндексации HEL.</w:t>
      </w:r>
    </w:p>
    <w:p>
      <w:pPr>
        <w:pStyle w:val="ListNumber"/>
      </w:pPr>
      <w:r>
        <w:t>Shadow: прогнать новый source planner и candidate skill, но не менять ответы пользователя.</w:t>
      </w:r>
    </w:p>
    <w:p>
      <w:pPr>
        <w:pStyle w:val="ListNumber"/>
      </w:pPr>
      <w:r>
        <w:t>Dev tuning: менять один слой за итерацию; после каждого изменения запускать hard gates.</w:t>
      </w:r>
    </w:p>
    <w:p>
      <w:pPr>
        <w:pStyle w:val="ListNumber"/>
      </w:pPr>
      <w:r>
        <w:t>Holdout: заморозить конфигурацию и передать независимому инженеру 25 скрытых концептов.</w:t>
      </w:r>
    </w:p>
    <w:p>
      <w:pPr>
        <w:pStyle w:val="ListNumber"/>
      </w:pPr>
      <w:r>
        <w:t>Canary HEL: включить candidate skill только для research и read-only MCP; сохранить legacy fallback.</w:t>
      </w:r>
    </w:p>
    <w:p>
      <w:pPr>
        <w:pStyle w:val="ListNumber"/>
      </w:pPr>
      <w:r>
        <w:t>Managed RAG shadow: сравнить semantic backend при неизменном LangGraph и exact BM25.</w:t>
      </w:r>
    </w:p>
    <w:p>
      <w:pPr>
        <w:pStyle w:val="ListNumber"/>
      </w:pPr>
      <w:r>
        <w:t>OpenClaw canary: отдельный процесс получает готовый brief; plan/execute остаются выключены.</w:t>
      </w:r>
    </w:p>
    <w:p>
      <w:pPr>
        <w:pStyle w:val="ListNumber"/>
      </w:pPr>
      <w:r>
        <w:t>Promotion: только после 0 ACL leakage, 100% critical recall@10 и полного parity по cancel/retry/branch/approval.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5F4EA" w:val="clear"/>
          </w:tcPr>
          <w:p>
            <w:pPr>
              <w:pStyle w:val="Callout"/>
            </w:pPr>
            <w:r/>
            <w:r>
              <w:rPr>
                <w:b/>
                <w:color w:val="2D7A52"/>
              </w:rPr>
              <w:t xml:space="preserve">Что уже безопасно добавлено. </w:t>
            </w:r>
            <w:r>
              <w:rPr>
                <w:color w:val="17324D"/>
              </w:rPr>
              <w:t>Workbook validator/manifest/evaluator, Excel gold-книга и candidate orchestration skill. Они не меняют production-индекс, настройки проекта, привязки агентов и runtime по умолчанию.</w:t>
            </w:r>
          </w:p>
        </w:tc>
      </w:tr>
    </w:tbl>
    <w:p>
      <w:pPr>
        <w:pStyle w:val="TableCitation"/>
      </w:pPr>
    </w:p>
    <w:p>
      <w:r>
        <w:br w:type="page"/>
      </w:r>
    </w:p>
    <w:p>
      <w:pPr>
        <w:pStyle w:val="Heading1"/>
      </w:pPr>
      <w:r>
        <w:t>11. Команды запуска</w:t>
      </w:r>
    </w:p>
    <w:p>
      <w:pPr>
        <w:spacing w:after="40"/>
      </w:pPr>
      <w:r>
        <w:rPr>
          <w:rFonts w:ascii="Courier New" w:hAnsi="Courier New"/>
          <w:color w:val="17324D"/>
          <w:sz w:val="17"/>
        </w:rPr>
        <w:t>uv run engineering-assistant-benchmark workbook-validate --workbook R44_RAG_MCP_Benchmark.xlsx --include-draft</w:t>
      </w:r>
    </w:p>
    <w:p>
      <w:r>
        <w:t>Проверить структуру до экспертной разметки.</w:t>
      </w:r>
    </w:p>
    <w:p>
      <w:pPr>
        <w:spacing w:after="40"/>
      </w:pPr>
      <w:r>
        <w:rPr>
          <w:rFonts w:ascii="Courier New" w:hAnsi="Courier New"/>
          <w:color w:val="17324D"/>
          <w:sz w:val="17"/>
        </w:rPr>
        <w:t>uv run engineering-assistant-benchmark workbook-manifest --workbook R44_RAG_MCP_Benchmark.xlsx --include-draft</w:t>
      </w:r>
    </w:p>
    <w:p>
      <w:r>
        <w:t>Получить безопасный runtime manifest без gold-полей.</w:t>
      </w:r>
    </w:p>
    <w:p>
      <w:pPr>
        <w:spacing w:after="40"/>
      </w:pPr>
      <w:r>
        <w:rPr>
          <w:rFonts w:ascii="Courier New" w:hAnsi="Courier New"/>
          <w:color w:val="17324D"/>
          <w:sz w:val="17"/>
        </w:rPr>
        <w:t>uv run engineering-assistant-benchmark workbook-evaluate --workbook R44_RAG_MCP_Benchmark.xlsx --results results.json</w:t>
      </w:r>
    </w:p>
    <w:p>
      <w:r>
        <w:t>Посчитать gates по результатам прогонов.</w:t>
      </w:r>
    </w:p>
    <w:p>
      <w:pPr>
        <w:pStyle w:val="Heading1"/>
      </w:pPr>
      <w:r>
        <w:t>12. Критерий готовности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rPr>
          <w:cantSplit/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7"/>
              </w:rPr>
              <w:t>Gate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7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Cross-project leakage</w:t>
            </w:r>
          </w:p>
        </w:tc>
        <w:tc>
          <w:tcPr>
            <w:tcW w:type="dxa" w:w="5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6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Critical gold recall@10</w:t>
            </w:r>
          </w:p>
        </w:tc>
        <w:tc>
          <w:tcPr>
            <w:tcW w:type="dxa" w:w="576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100%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Citation precision</w:t>
            </w:r>
          </w:p>
        </w:tc>
        <w:tc>
          <w:tcPr>
            <w:tcW w:type="dxa" w:w="5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≥ 95%</w:t>
            </w:r>
          </w:p>
        </w:tc>
      </w:tr>
      <w:tr>
        <w:trPr>
          <w:cantSplit/>
        </w:trPr>
        <w:tc>
          <w:tcPr>
            <w:tcW w:type="dxa" w:w="36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Grounded answer pass</w:t>
            </w:r>
          </w:p>
        </w:tc>
        <w:tc>
          <w:tcPr>
            <w:tcW w:type="dxa" w:w="576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≥ 90%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Agent / skill / source-plan accuracy</w:t>
            </w:r>
          </w:p>
        </w:tc>
        <w:tc>
          <w:tcPr>
            <w:tcW w:type="dxa" w:w="5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каждый ≥ 95%</w:t>
            </w:r>
          </w:p>
        </w:tc>
      </w:tr>
      <w:tr>
        <w:trPr>
          <w:cantSplit/>
        </w:trPr>
        <w:tc>
          <w:tcPr>
            <w:tcW w:type="dxa" w:w="36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Mutable MCP facts</w:t>
            </w:r>
          </w:p>
        </w:tc>
        <w:tc>
          <w:tcPr>
            <w:tcW w:type="dxa" w:w="576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100% имеют observed_at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Expected outcome / MCP tool / MCP route</w:t>
            </w:r>
          </w:p>
        </w:tc>
        <w:tc>
          <w:tcPr>
            <w:tcW w:type="dxa" w:w="5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каждый 100%</w:t>
            </w:r>
          </w:p>
        </w:tc>
      </w:tr>
      <w:tr>
        <w:trPr>
          <w:cantSplit/>
        </w:trPr>
        <w:tc>
          <w:tcPr>
            <w:tcW w:type="dxa" w:w="36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Citation completeness / deliverable coverage</w:t>
            </w:r>
          </w:p>
        </w:tc>
        <w:tc>
          <w:tcPr>
            <w:tcW w:type="dxa" w:w="576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≥ 95% / ≥ 90%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Read-only approval</w:t>
            </w:r>
          </w:p>
        </w:tc>
        <w:tc>
          <w:tcPr>
            <w:tcW w:type="dxa" w:w="5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не более одного разрешения на чат и набор tools</w:t>
            </w:r>
          </w:p>
        </w:tc>
      </w:tr>
      <w:tr>
        <w:trPr>
          <w:cantSplit/>
        </w:trPr>
        <w:tc>
          <w:tcPr>
            <w:tcW w:type="dxa" w:w="36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Terminal run steps</w:t>
            </w:r>
          </w:p>
        </w:tc>
        <w:tc>
          <w:tcPr>
            <w:tcW w:type="dxa" w:w="576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0 активных задач после terminal outcome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Production mutation во время benchmark</w:t>
            </w:r>
          </w:p>
        </w:tc>
        <w:tc>
          <w:tcPr>
            <w:tcW w:type="dxa" w:w="57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false</w:t>
            </w:r>
          </w:p>
        </w:tc>
      </w:tr>
    </w:tbl>
    <w:p>
      <w:pPr>
        <w:pStyle w:val="TableCitation"/>
      </w:pPr>
    </w:p>
    <w:p>
      <w:r>
        <w:t>Средний score не компенсирует hard-gate нарушение. Если критическое числовое требование не найдено, есть утечка проекта, tool вызван без policy или завершённый run скрывает fallback, конфигурация не выпускается независимо от остальных метрик.</w:t>
      </w:r>
    </w:p>
    <w:p>
      <w:r>
        <w:br w:type="page"/>
      </w:r>
    </w:p>
    <w:p>
      <w:pPr>
        <w:pStyle w:val="Heading1"/>
      </w:pPr>
      <w:r>
        <w:t>13. Технические опорные точки в репозитории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cantSplit/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7"/>
              </w:rPr>
              <w:t>Назначение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/>
                <w:color w:val="17324D"/>
                <w:sz w:val="17"/>
              </w:rPr>
              <w:t>Путь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LangGraph</w:t>
            </w:r>
          </w:p>
        </w:tc>
        <w:tc>
          <w:tcPr>
            <w:tcW w:type="dxa" w:w="60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src/engineering_assistant/agent_graph.py</w:t>
            </w:r>
          </w:p>
        </w:tc>
      </w:tr>
      <w:tr>
        <w:trPr>
          <w:cantSplit/>
        </w:trPr>
        <w:tc>
          <w:tcPr>
            <w:tcW w:type="dxa" w:w="33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Runtime dispatch / approvals / statuses</w:t>
            </w:r>
          </w:p>
        </w:tc>
        <w:tc>
          <w:tcPr>
            <w:tcW w:type="dxa" w:w="606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src/engineering_assistant/run_executor.py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LangGraph и OpenClaw adapters</w:t>
            </w:r>
          </w:p>
        </w:tc>
        <w:tc>
          <w:tcPr>
            <w:tcW w:type="dxa" w:w="60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src/engineering_assistant/runtime_adapters.py</w:t>
            </w:r>
          </w:p>
        </w:tc>
      </w:tr>
      <w:tr>
        <w:trPr>
          <w:cantSplit/>
        </w:trPr>
        <w:tc>
          <w:tcPr>
            <w:tcW w:type="dxa" w:w="33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Custom hybrid retrieval</w:t>
            </w:r>
          </w:p>
        </w:tc>
        <w:tc>
          <w:tcPr>
            <w:tcW w:type="dxa" w:w="606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src/engineering_assistant/hybrid_retrieval.py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KnowledgeGateway</w:t>
            </w:r>
          </w:p>
        </w:tc>
        <w:tc>
          <w:tcPr>
            <w:tcW w:type="dxa" w:w="60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src/engineering_assistant/knowledge_gateway.py</w:t>
            </w:r>
          </w:p>
        </w:tc>
      </w:tr>
      <w:tr>
        <w:trPr>
          <w:cantSplit/>
        </w:trPr>
        <w:tc>
          <w:tcPr>
            <w:tcW w:type="dxa" w:w="33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Managed RAG adapter</w:t>
            </w:r>
          </w:p>
        </w:tc>
        <w:tc>
          <w:tcPr>
            <w:tcW w:type="dxa" w:w="606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src/engineering_assistant/rag_backends.py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MCP API / chat approval</w:t>
            </w:r>
          </w:p>
        </w:tc>
        <w:tc>
          <w:tcPr>
            <w:tcW w:type="dxa" w:w="60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src/engineering_assistant/api_app.py</w:t>
            </w:r>
          </w:p>
        </w:tc>
      </w:tr>
      <w:tr>
        <w:trPr>
          <w:cantSplit/>
        </w:trPr>
        <w:tc>
          <w:tcPr>
            <w:tcW w:type="dxa" w:w="330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Workbook contracts и gates</w:t>
            </w:r>
          </w:p>
        </w:tc>
        <w:tc>
          <w:tcPr>
            <w:tcW w:type="dxa" w:w="6060"/>
            <w:shd w:fill="F8FAFB" w:val="clear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src/engineering_assistant/benchmark_workbook.py</w:t>
            </w:r>
          </w:p>
        </w:tc>
      </w:tr>
      <w:tr>
        <w:trPr>
          <w:cantSplit/>
        </w:trPr>
        <w:tc>
          <w:tcPr>
            <w:tcW w:type="dxa" w:w="330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Candidate orchestration skill</w:t>
            </w:r>
          </w:p>
        </w:tc>
        <w:tc>
          <w:tcPr>
            <w:tcW w:type="dxa" w:w="6060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/>
                <w:b w:val="0"/>
                <w:color w:val="1D2935"/>
                <w:sz w:val="17"/>
              </w:rPr>
              <w:t>skills/orchestrate-evidence-and-tools/SKILL.md</w:t>
            </w:r>
          </w:p>
        </w:tc>
      </w:tr>
    </w:tbl>
    <w:p>
      <w:pPr>
        <w:pStyle w:val="TableCitation"/>
      </w:pPr>
    </w:p>
    <w:p>
      <w:r>
        <w:t>Документ описывает проверенную кодовую архитектуру и наблюдаемое состояние UI на дату среза. Он не утверждает, что Managed RAG/OpenClaw или недоступный Tech Helper уже являются production primary. Фактический effective backend, model и fallback должны фиксироваться в каждом run.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07080"/>
        <w:sz w:val="18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CBD5DF"/>
      </w:pBdr>
    </w:pPr>
  </w:p>
  <w:tbl>
    <w:tblPr>
      <w:tblStyle w:val="TableGrid"/>
      <w:tblW w:type="dxa" w:w="9360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4680"/>
      <w:gridCol w:w="4680"/>
    </w:tblGrid>
    <w:tr>
      <w:trPr>
        <w:cantSplit/>
      </w:trPr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before="0" w:after="0" w:line="252" w:lineRule="auto"/>
          </w:pPr>
          <w:r/>
          <w:r>
            <w:rPr>
              <w:rFonts w:ascii="Calibri" w:hAnsi="Calibri"/>
              <w:b/>
              <w:color w:val="17324D"/>
              <w:sz w:val="18"/>
            </w:rPr>
            <w:t>R44 · RAG + MCP</w:t>
          </w:r>
        </w:p>
      </w:tc>
      <w:tc>
        <w:tcPr>
          <w:tcW w:type="dxa" w:w="468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before="0" w:after="0" w:line="252" w:lineRule="auto"/>
            <w:jc w:val="right"/>
          </w:pPr>
          <w:r/>
          <w:r>
            <w:rPr>
              <w:rFonts w:ascii="Calibri" w:hAnsi="Calibri"/>
              <w:b w:val="0"/>
              <w:color w:val="607080"/>
              <w:sz w:val="18"/>
            </w:rPr>
            <w:t>Engineering Assistant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D29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itation">
    <w:name w:val="Table Citation"/>
    <w:pPr>
      <w:spacing w:before="80" w:after="80"/>
    </w:pPr>
    <w:rPr>
      <w:rFonts w:ascii="Calibri" w:hAnsi="Calibri"/>
      <w:i/>
      <w:color w:val="607080"/>
      <w:sz w:val="17"/>
    </w:rPr>
  </w:style>
  <w:style w:type="paragraph" w:customStyle="1" w:styleId="Callout">
    <w:name w:val="Callout"/>
    <w:pPr>
      <w:spacing w:before="80" w:after="160" w:line="288" w:lineRule="auto"/>
      <w:ind w:left="216" w:right="216"/>
    </w:pPr>
    <w:rPr>
      <w:rFonts w:ascii="Calibri" w:hAnsi="Calibri"/>
      <w:color w:val="17324D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R44: RAG + MCP + агенты + skills</dc:title>
  <dc:subject>Архитектура, benchmark и безопасный rollout Engineering Assistant</dc:subject>
  <dc:creator>Engineering Assistant / Codex</dc:creator>
  <cp:keywords>RAG, MCP, LangGraph, OpenClaw, agents, skills, benchmark, R44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