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0E7EFCDD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6BAC297F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b/>
          <w:sz w:val="72"/>
          <w:szCs w:val="7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72"/>
          <w:szCs w:val="72"/>
          <w:lang w:val="bg-BG"/>
        </w:rPr>
        <w:t>КУРСОВ ПРОЕКТ</w:t>
      </w:r>
    </w:p>
    <w:p w14:paraId="46C0D091" w14:textId="77777777" w:rsidR="00B711B2" w:rsidRPr="0034766F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i/>
          <w:sz w:val="36"/>
          <w:szCs w:val="36"/>
          <w:lang w:val="bg-BG"/>
        </w:rPr>
        <w:t>ПО ЕЛЕКТРОННИ УСТРОЙСТВА ЗА ИЗМЕРВАНЕ И УПРАВЛЕНИЕ</w:t>
      </w:r>
    </w:p>
    <w:p w14:paraId="6E0E2603" w14:textId="77777777" w:rsidR="00B711B2" w:rsidRPr="0034766F" w:rsidRDefault="00B711B2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Т</w:t>
      </w:r>
      <w:r w:rsidR="004639B1"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ема</w:t>
      </w: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:</w:t>
      </w:r>
    </w:p>
    <w:p w14:paraId="1FE0F27B" w14:textId="551ACB8A" w:rsidR="00B711B2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Металотърсач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Студент: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Илиян Антов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ас. Николай </w:t>
      </w:r>
      <w:proofErr w:type="spellStart"/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Тюлиев</w:t>
      </w:r>
      <w:proofErr w:type="spellEnd"/>
    </w:p>
    <w:p w14:paraId="0CABDC7D" w14:textId="77777777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</w:t>
      </w:r>
    </w:p>
    <w:p w14:paraId="383650B2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16C299BA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София</w:t>
      </w:r>
    </w:p>
    <w:p w14:paraId="0BE34390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2023 г.</w:t>
      </w:r>
    </w:p>
    <w:p w14:paraId="28A3913A" w14:textId="77777777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Увод</w:t>
      </w:r>
    </w:p>
    <w:p w14:paraId="095AC7B2" w14:textId="32259197" w:rsidR="00A851B9" w:rsidRPr="0034766F" w:rsidRDefault="004639B1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Металотърсачите са електронни устройства, 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предназначени за безконтактно установяване на наличието на метали в определена зона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vertAlign w:val="superscript"/>
          <w:lang w:val="bg-BG"/>
        </w:rPr>
        <w:t>[1]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. В практиката те намират всевъзможни приложения – за откриване на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ценни вещи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заровени под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почвата; за откриване на скрити метални обекти някъде по тялото без да се налага претърсване; за откриване на проводници в стени и т.н. 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Поради множеството различни приложения на металотърсачите, съществуват и много различни методи за реализирането им – както по отношение на формата и големината им, така и по отношение на  принципа им на работа.</w:t>
      </w:r>
    </w:p>
    <w:p w14:paraId="78F670D7" w14:textId="153386F9" w:rsidR="00B711B2" w:rsidRPr="0034766F" w:rsidRDefault="00F54BC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 настоящия курсов проект се цели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запознаване със съществуващите методи за изработка на металотърсачи и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проектиране на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металотърсач, предназначен за откриване на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средно големи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метални обекти през 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тънки прегради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Металотърсачът 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трябва да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бъде снабден с основните блокове, необходими за функционирането му – 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батерийно захранване,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търсещ елемент, входове за включване и настройка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и един или повече видове изходна индикация.</w:t>
      </w:r>
      <w:r w:rsidRPr="0034766F">
        <w:rPr>
          <w:lang w:val="bg-BG"/>
        </w:rPr>
        <w:br w:type="page"/>
      </w:r>
    </w:p>
    <w:p w14:paraId="07C31988" w14:textId="34FDBABD" w:rsidR="004639B1" w:rsidRPr="0034766F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Литературно проучване</w:t>
      </w:r>
    </w:p>
    <w:p w14:paraId="13AA4777" w14:textId="228FF12A" w:rsidR="00A851B9" w:rsidRPr="0034766F" w:rsidRDefault="00E7259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Съществуват множество методи за изработка на металотърсачи, но в практиката са се наложили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три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[2]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[3]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всеки от които има своите предимства и недостатъци.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Това са:</w:t>
      </w:r>
    </w:p>
    <w:p w14:paraId="20FEE7C1" w14:textId="77777777" w:rsidR="00163EDC" w:rsidRPr="0034766F" w:rsidRDefault="00163ED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8779BF5" w14:textId="6B629DD8" w:rsidR="00163EDC" w:rsidRPr="0034766F" w:rsidRDefault="00163EDC" w:rsidP="000726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32"/>
          <w:szCs w:val="32"/>
          <w:lang w:val="bg-BG"/>
        </w:rPr>
      </w:pP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Very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</w:t>
      </w: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Low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</w:t>
      </w: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Frequency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(VLF)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4162AFE9" w14:textId="7B3E4B3F" w:rsidR="003B7DF3" w:rsidRPr="0034766F" w:rsidRDefault="00163EDC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тип металотърсачи 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използват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две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отделни намотки – една предавателна и една приемна. Предавателната намотка генерира нискочестотно магнитно поле (от където произлиза и името им), което прониква </w:t>
      </w:r>
      <w:r w:rsidR="00054F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почвата и индуцира токове на Фуко в металните обекти, които среща по пътя си. Тези токове на Фуко от своя страна генерират </w:t>
      </w:r>
      <w:r w:rsidR="00054F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собствени магнитни полета, които се засичат от приемната намотка.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Специфични за този метод са </w:t>
      </w:r>
      <w:r w:rsidR="0080656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множеството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възможни конфигурации за разполагане на предавателната 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спрямо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приемната намотка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концентрично, </w:t>
      </w:r>
      <w:r w:rsidR="0080656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конфигурация тип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„двойно-D”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др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уги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като всеки вид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има 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своите предимства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се използва при различни условия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4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]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73AAE6EF" w14:textId="594B860E" w:rsidR="00054FD9" w:rsidRPr="0034766F" w:rsidRDefault="00054FD9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3ABAB8F3" w14:textId="3E546467" w:rsidR="00054FD9" w:rsidRPr="0034766F" w:rsidRDefault="00054FD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Добра способност за разграничаване на различни видове метали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(т.нар. дискриминация)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531452B" w14:textId="5949E34F" w:rsidR="00054FD9" w:rsidRPr="0034766F" w:rsidRDefault="00054FD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Задоволително проникване, зависещо главно от честотата на предавателната намотка;</w:t>
      </w:r>
    </w:p>
    <w:p w14:paraId="55E99A16" w14:textId="5C8D26D1" w:rsidR="003B7DF3" w:rsidRPr="0034766F" w:rsidRDefault="003B7DF3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получаване на допълнителна информация за засечения обект – дълбочина, размери, тип метал и др.</w:t>
      </w:r>
    </w:p>
    <w:p w14:paraId="552709CB" w14:textId="02035BE9" w:rsidR="003B7DF3" w:rsidRPr="0034766F" w:rsidRDefault="003B7DF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24D32847" w14:textId="37F00FF3" w:rsidR="003B7DF3" w:rsidRPr="0034766F" w:rsidRDefault="003B7DF3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към минерализация на почвата;</w:t>
      </w:r>
    </w:p>
    <w:p w14:paraId="7B43BF8A" w14:textId="4F17D67B" w:rsidR="003B7DF3" w:rsidRPr="0034766F" w:rsidRDefault="003B7DF3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 много стабилна механична конструкция, придържаща двете намотки неподвижни една спрямо друга;</w:t>
      </w:r>
    </w:p>
    <w:p w14:paraId="0C0BF274" w14:textId="0318D4D5" w:rsidR="000B0B1A" w:rsidRPr="0034766F" w:rsidRDefault="003B7DF3" w:rsidP="000B0B1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много точна изработка на намотките.</w:t>
      </w:r>
    </w:p>
    <w:p w14:paraId="188AB16E" w14:textId="487BDCC5" w:rsidR="004C47CD" w:rsidRPr="0034766F" w:rsidRDefault="004C47CD" w:rsidP="000726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lastRenderedPageBreak/>
        <w:t>Pulse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</w:t>
      </w: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Induction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(PI)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1BC58A74" w14:textId="7A044864" w:rsidR="004C47CD" w:rsidRPr="0034766F" w:rsidRDefault="00DB1E0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Този тип металотърсачи използват една е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нствена намотка, която изпълнява и двете функции – на предавател и на приемник.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Принципът им на работа се основава на г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енериране на 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поредица от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кратки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но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мощни електрома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нитни импулс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и отмерване на времето, за което магнитното поле се разпада след края на всеки от импулсите. При наличие на метален обект в зоната на магнитното поле, в него се индуцират токове на Фуко и той генерира свое собствено магнитно поле, което взаимодейства с генерираното от металотърсача. В резултат на това, времето за разпад на магнитното поле в края на импулса се променя (удължава се). Чрез точно измерване на това време се установява наличието на метал.</w:t>
      </w:r>
    </w:p>
    <w:p w14:paraId="045D452F" w14:textId="77777777" w:rsidR="004C47CD" w:rsidRPr="0034766F" w:rsidRDefault="004C47C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6572F18D" w14:textId="606E3E81" w:rsidR="004C47CD" w:rsidRPr="0034766F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Много добро проникване – с тях може да се достигнат по-големи дълбочини от всички други видове металотърсачи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D7A2ECF" w14:textId="39946882" w:rsidR="00807A1A" w:rsidRPr="0034766F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Нечувствителност към минерализация на почвата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4478E7A" w14:textId="1DDDEA51" w:rsidR="004C47CD" w:rsidRPr="0034766F" w:rsidRDefault="004C47CD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73BD8F8E" w14:textId="2C110555" w:rsidR="009D078E" w:rsidRPr="0034766F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Ограничена възможност за различаване на метали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33C013C" w14:textId="098D35BE" w:rsidR="00807A1A" w:rsidRPr="0034766F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Висока консумация – поради голямата мощност на импулсите.</w:t>
      </w:r>
    </w:p>
    <w:p w14:paraId="1A1D2E38" w14:textId="7998E5AB" w:rsidR="009D74C2" w:rsidRPr="0034766F" w:rsidRDefault="009D74C2" w:rsidP="000726E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</w:p>
    <w:p w14:paraId="5DF7652A" w14:textId="73DC6EB5" w:rsidR="009D74C2" w:rsidRPr="0034766F" w:rsidRDefault="009D74C2" w:rsidP="000726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Beat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</w:t>
      </w: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Frequency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</w:t>
      </w:r>
      <w:proofErr w:type="spellStart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Oscillation</w:t>
      </w:r>
      <w:proofErr w:type="spellEnd"/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 xml:space="preserve"> (BFO)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76F0F3FD" w14:textId="31C26D4D" w:rsidR="009D74C2" w:rsidRPr="0034766F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Най-старият и прост тип металотърсачи. Те използват две отделни </w:t>
      </w:r>
      <w:proofErr w:type="spellStart"/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осцилиращи</w:t>
      </w:r>
      <w:proofErr w:type="spellEnd"/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схеми –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т.нар. търсещ 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референт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 осцилатор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Референтният осцилатор генерира сигнал с постоянна честота.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 схемата на търсещия осцилатор участва т.нар. търсеща намотка – това е намотката, която се използва за засичане на метали и която на практика </w:t>
      </w:r>
      <w:r w:rsidR="007F52E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формира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зоната, в която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извършва търсенето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Когато до търсещата намотка се доближи метал, нейната индуктивност се променя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(посоката на промяната зависи от вида на метала – магнитен или немагнитен</w:t>
      </w:r>
      <w:r w:rsidR="001E2CD9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[5]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което води до промяна </w:t>
      </w:r>
      <w:r w:rsidR="007F52E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честотата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на търсещия осцилатор. Сигналът от търсещия и от референтния осцилатор се миксират, като в резултат се получава сигнал с честота, равна на разликата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между двата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Този сигнал в последствие се филтрира и усилва</w:t>
      </w:r>
      <w:r w:rsidR="004E336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директно се подава на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звуково устройство, което да </w:t>
      </w:r>
      <w:r w:rsidR="001E2C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го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възпроизведе. </w:t>
      </w:r>
    </w:p>
    <w:p w14:paraId="14CD3B28" w14:textId="77777777" w:rsidR="009D74C2" w:rsidRPr="0034766F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1654CEE5" w14:textId="0AE8026F" w:rsidR="009D74C2" w:rsidRPr="0034766F" w:rsidRDefault="001E2CD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Проста и евтина реализация с минимален брой компоненти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970A1FD" w14:textId="45AD941F" w:rsidR="00D24EF5" w:rsidRPr="0034766F" w:rsidRDefault="00D24EF5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Лесни за използване, настройка и ремонт.</w:t>
      </w:r>
    </w:p>
    <w:p w14:paraId="0BAD3E3B" w14:textId="4671C9BA" w:rsidR="009D74C2" w:rsidRPr="0034766F" w:rsidRDefault="009D74C2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66899C07" w14:textId="77777777" w:rsidR="00D24EF5" w:rsidRPr="0034766F" w:rsidRDefault="00D24EF5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Силно ограничено проникване;</w:t>
      </w:r>
    </w:p>
    <w:p w14:paraId="7F9D1316" w14:textId="2787F978" w:rsidR="00D24EF5" w:rsidRPr="0034766F" w:rsidRDefault="004D25F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Ниска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чувствителност;</w:t>
      </w:r>
    </w:p>
    <w:p w14:paraId="0044F171" w14:textId="370015A0" w:rsidR="00D24EF5" w:rsidRPr="0034766F" w:rsidRDefault="00D24EF5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 особено добра възможност за разграничаване на метали</w:t>
      </w:r>
      <w:r w:rsidR="004D25F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578A4402" w14:textId="77777777" w:rsidR="004D25F9" w:rsidRPr="0034766F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735BCB42" w14:textId="367956A9" w:rsidR="004D25F9" w:rsidRPr="0034766F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Заключение:</w:t>
      </w:r>
    </w:p>
    <w:p w14:paraId="23BE4CFE" w14:textId="3DEF8AD1" w:rsidR="004D25F9" w:rsidRPr="0034766F" w:rsidRDefault="00EE7D0D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ab/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От разгледаните видове металотърсачи, най-подходящ за целите на настоящия курсов проект е принципът BFO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главно заради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ниската му цена и малкия брой елементи, необходими за реализацията му. Освен това, простотата на 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метод позволява сравнително лесното му модифициране и подобряване, например чрез въвеждане на микроконтролер или </w:t>
      </w:r>
      <w:r w:rsidR="00A34D8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чрез добавяне на 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различни видове индикация.</w:t>
      </w:r>
      <w:r w:rsidR="00A34D8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 на последно място, разработката на металотърсач от този тип е свързана с най-малко усилия по отношение на механичната му конструкция, тъй като не е необходимо напасването на параметрите на две различни намотки в търсещата глава</w:t>
      </w:r>
      <w:r w:rsidR="005F367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а само осигуряването на стабилна основа за търсещата намотка. </w:t>
      </w:r>
    </w:p>
    <w:p w14:paraId="1D249D15" w14:textId="56B7DC41" w:rsidR="00A851B9" w:rsidRPr="0034766F" w:rsidRDefault="00A851B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Техническо задание</w:t>
      </w:r>
    </w:p>
    <w:p w14:paraId="4C569CEE" w14:textId="2D348F72" w:rsidR="00A52919" w:rsidRPr="0034766F" w:rsidRDefault="003B4D93" w:rsidP="000726E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Цел и п</w:t>
      </w:r>
      <w:r w:rsidR="00A52919"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редназначение</w:t>
      </w:r>
    </w:p>
    <w:p w14:paraId="1A80F5C1" w14:textId="76C6BCFC" w:rsidR="003B4D93" w:rsidRPr="0034766F" w:rsidRDefault="00E95738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Металотърсачът трябва да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може да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използва за засичане на средно големи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</w:t>
      </w:r>
      <w:r w:rsidR="009E2B1C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x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</w:t>
      </w:r>
      <w:r w:rsidR="001170A7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x1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см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3B4D9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магнитни или немагнитни</w:t>
      </w:r>
      <w:r w:rsidR="003B4D9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метални обекти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през тънки прегради или заровени на малка дълбочина под почвата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(10 - 20см)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9F80810" w14:textId="52F5290F" w:rsidR="003B4D93" w:rsidRPr="0034766F" w:rsidRDefault="003B4D93" w:rsidP="000726E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Принцип на работа</w:t>
      </w:r>
    </w:p>
    <w:p w14:paraId="2B5A1239" w14:textId="4DC5A1D3" w:rsidR="003B4D93" w:rsidRPr="0034766F" w:rsidRDefault="009F3A5E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Металотърсачът тр</w:t>
      </w:r>
      <w:r w:rsidR="004A143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бва да работи на принципа на модифициран метод на биене на честотите (BFO). Търсещият осцилатор трябва</w:t>
      </w:r>
      <w:r w:rsidR="00706B1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стандартен и идентичен на тези, използвани при традиционните BFO металотърсачи. Референтният осцилатор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ще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заменен от микроконтролер, който позволява записване на текущата честота на търсещия осцилатор с цел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бързо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лесно нулиране. Информация за измерването трябва да се получава в две форми – </w:t>
      </w:r>
      <w:r w:rsidR="00547BF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във вид на светлинен и във вид на звуков сигнал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CBE25A9" w14:textId="7D9D6EBB" w:rsidR="009E2B1C" w:rsidRPr="0034766F" w:rsidRDefault="009E2B1C" w:rsidP="000726E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Параметри (характеристики)</w:t>
      </w:r>
    </w:p>
    <w:p w14:paraId="2477DD86" w14:textId="059FA22A" w:rsidR="009E2B1C" w:rsidRPr="0034766F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Изисквания към металотърсача:</w:t>
      </w:r>
    </w:p>
    <w:p w14:paraId="0CA6E2FD" w14:textId="53121568" w:rsidR="00BA4C46" w:rsidRPr="0034766F" w:rsidRDefault="00BA4C46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Площ на търсещата намотка – </w:t>
      </w:r>
      <w:r w:rsidR="004A143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около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20см диаметър</w:t>
      </w:r>
      <w:r w:rsidR="001761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81D7A29" w14:textId="185C4962" w:rsidR="009E2B1C" w:rsidRPr="0034766F" w:rsidRDefault="009E2B1C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Чувствителност – засичане на метална пластина </w:t>
      </w:r>
      <w:r w:rsidR="000C354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размер не по-малък от </w:t>
      </w:r>
      <w:r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10x10x1см</w:t>
      </w:r>
      <w:r w:rsidR="001170A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разстояние 20см от търсещата намотка</w:t>
      </w:r>
      <w:r w:rsidR="0053615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0D69613A" w14:textId="3DC6D1E7" w:rsidR="001170A7" w:rsidRPr="0034766F" w:rsidRDefault="0053615C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 – батерийно захранване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2.5-3.5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V, осигурено от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две батерии тип AA;</w:t>
      </w:r>
    </w:p>
    <w:p w14:paraId="43C5E296" w14:textId="77777777" w:rsidR="0053615C" w:rsidRPr="0034766F" w:rsidRDefault="0053615C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 – бутон за включване, бутон за задаване на референтна честота (нулиране);</w:t>
      </w:r>
    </w:p>
    <w:p w14:paraId="33318837" w14:textId="2007483C" w:rsidR="00572BE7" w:rsidRPr="0034766F" w:rsidRDefault="00EE7266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Изходна и</w:t>
      </w:r>
      <w:r w:rsidR="0053615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ндикация – два вида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4CA2620B" w14:textId="05397BBD" w:rsidR="00572BE7" w:rsidRPr="0034766F" w:rsidRDefault="004A1433" w:rsidP="000726E5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 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сигнал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5673D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регулируем,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жак 3.5мм;</w:t>
      </w:r>
    </w:p>
    <w:p w14:paraId="4CC83C6E" w14:textId="6817A9AF" w:rsidR="00AC5F1A" w:rsidRPr="0034766F" w:rsidRDefault="00572BE7" w:rsidP="00AC5F1A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proofErr w:type="spellStart"/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</w:t>
      </w:r>
      <w:proofErr w:type="spellEnd"/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стълбица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възможност за изобразяване на поне два цвята;</w:t>
      </w:r>
    </w:p>
    <w:p w14:paraId="5271CF10" w14:textId="376F882F" w:rsidR="00EE7266" w:rsidRPr="0034766F" w:rsidRDefault="001B3BC8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Допълнителни изисквани</w:t>
      </w:r>
      <w:r w:rsidR="00EE7266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я:</w:t>
      </w:r>
    </w:p>
    <w:p w14:paraId="7A298402" w14:textId="4D19F9CC" w:rsidR="002B4583" w:rsidRPr="0034766F" w:rsidRDefault="00EE7266" w:rsidP="000726E5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азграничаване на магнитни от немагнитни материали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1F8AC681" w14:textId="77777777" w:rsidR="00AC5F1A" w:rsidRPr="0034766F" w:rsidRDefault="00AC5F1A" w:rsidP="00AC5F1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B9E0FEE" w14:textId="1C6A0E82" w:rsidR="00813958" w:rsidRPr="0034766F" w:rsidRDefault="000726E5" w:rsidP="0081395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Блокова схема</w:t>
      </w:r>
    </w:p>
    <w:p w14:paraId="1511895B" w14:textId="444E9720" w:rsidR="00813958" w:rsidRPr="0034766F" w:rsidRDefault="00D90326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noProof/>
          <w:sz w:val="36"/>
          <w:szCs w:val="36"/>
          <w:lang w:val="bg-BG" w:eastAsia="en-US"/>
        </w:rPr>
        <w:drawing>
          <wp:inline distT="0" distB="0" distL="0" distR="0" wp14:anchorId="79E52841" wp14:editId="584F2F73">
            <wp:extent cx="5764530" cy="2369185"/>
            <wp:effectExtent l="0" t="0" r="7620" b="0"/>
            <wp:docPr id="101658697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445" w14:textId="4D32ECC3" w:rsidR="00813958" w:rsidRPr="0034766F" w:rsidRDefault="00813958" w:rsidP="0081395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 w:rsidR="0043653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4.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1.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Блокова схема на устройството</w:t>
      </w:r>
    </w:p>
    <w:p w14:paraId="2B14DD9D" w14:textId="77777777" w:rsidR="00813958" w:rsidRPr="0034766F" w:rsidRDefault="00813958" w:rsidP="00813958">
      <w:p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E78BF7A" w14:textId="0194D7EA" w:rsidR="00505057" w:rsidRPr="0034766F" w:rsidRDefault="00813958" w:rsidP="00C4786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 w:rsidR="004365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4.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1. е показана блоковата схема на проектираното устройство. Представени са </w:t>
      </w:r>
      <w:r w:rsidR="00D90326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седемте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 съставни блока на металотърсача, както и връзките между тях. С цел по-добра прегледност, връзките от блок „Захранване“ към всички останали блокове са изпуснати.</w:t>
      </w:r>
    </w:p>
    <w:p w14:paraId="6828D0F5" w14:textId="77777777" w:rsidR="00813958" w:rsidRPr="0034766F" w:rsidRDefault="00813958" w:rsidP="00F4549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Предназначението на всеки от блоковете е както следва:</w:t>
      </w:r>
    </w:p>
    <w:p w14:paraId="10D0200A" w14:textId="77777777" w:rsidR="00D90326" w:rsidRPr="0034766F" w:rsidRDefault="00D90326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„Търсещ осцилатор“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генерира сигнал с променлива честота, зависеща от индуктивността на търсещата намотка, т.е. от наличието на метални обекти в зоната на търсене;</w:t>
      </w:r>
    </w:p>
    <w:p w14:paraId="2F09A121" w14:textId="591165D6" w:rsidR="00D90326" w:rsidRPr="0034766F" w:rsidRDefault="00D90326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„Буфер“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обработва сигнал</w:t>
      </w:r>
      <w:r w:rsidR="00F1145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блок „Търсещ осцилатор“ и го преобразува във вид, подходящ за подаване на някой от входовете на микроконтролера;</w:t>
      </w:r>
    </w:p>
    <w:p w14:paraId="0F8650C2" w14:textId="57F1E717" w:rsidR="00D90326" w:rsidRPr="0034766F" w:rsidRDefault="00D90326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„Управление“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съдържа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входове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рестартиране на микроконтролера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задаване (нулиране) на референтната честота;</w:t>
      </w:r>
    </w:p>
    <w:p w14:paraId="699CE303" w14:textId="682123A3" w:rsidR="00D90326" w:rsidRPr="0034766F" w:rsidRDefault="00D90326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„Микроконтролер“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пази информация за референтната честота на търсещия осцилатор и следи за промяна в текущата му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честота; управлява двата вида индикация; грижи се за извършване на всички изчисления, необходими за функционирането на устройството;</w:t>
      </w:r>
    </w:p>
    <w:p w14:paraId="1F3515EF" w14:textId="74845CDF" w:rsidR="00C35FA4" w:rsidRPr="0034766F" w:rsidRDefault="00C35FA4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„Звукова индикация“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регулиране на нивото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получения от микроконтролера звуков сигнал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както и за извеждането му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към подходящ интерфейс (жак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3.5мм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37EB3C73" w14:textId="6A119DD5" w:rsidR="00093978" w:rsidRPr="0034766F" w:rsidRDefault="00093978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„Визуална индикация“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управление на </w:t>
      </w:r>
      <w:proofErr w:type="spellStart"/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</w:t>
      </w:r>
      <w:proofErr w:type="spellEnd"/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стълбица (набор от </w:t>
      </w:r>
      <w:proofErr w:type="spellStart"/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светодиоди</w:t>
      </w:r>
      <w:proofErr w:type="spellEnd"/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 един корпус) в зависимост от информацията, получена от микроконтролера;</w:t>
      </w:r>
    </w:p>
    <w:p w14:paraId="401A138D" w14:textId="0B7CB580" w:rsidR="00AC5F1A" w:rsidRPr="0034766F" w:rsidRDefault="00813958" w:rsidP="00F4549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„Захранване“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осигурява захранване 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 всички останали блокове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съдържа ключ за включване и изключване на металотърсача.</w:t>
      </w:r>
    </w:p>
    <w:p w14:paraId="50E39792" w14:textId="77777777" w:rsidR="00F11455" w:rsidRPr="0034766F" w:rsidRDefault="00F11455" w:rsidP="00F454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67D0076" w14:textId="029A3E96" w:rsidR="007578DF" w:rsidRPr="0034766F" w:rsidRDefault="000726E5" w:rsidP="00F4549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Принципна електрическа схема</w:t>
      </w:r>
    </w:p>
    <w:p w14:paraId="41E60EDC" w14:textId="754BC06D" w:rsidR="00F4549B" w:rsidRDefault="00F4549B" w:rsidP="00E174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 w:rsidR="004365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5.1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пълната принципна електрическа схема на проектираното устройство. За прегледност схемата е разделена на отделни блокове</w:t>
      </w:r>
      <w:r w:rsidR="008F5012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69477550" w14:textId="5A918BED" w:rsidR="00D06293" w:rsidRPr="009D0504" w:rsidRDefault="00D13A5A" w:rsidP="009D0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D06293" w:rsidRPr="009D0504" w:rsidSect="000726E5">
          <w:footerReference w:type="default" r:id="rId10"/>
          <w:pgSz w:w="11909" w:h="16834"/>
          <w:pgMar w:top="1418" w:right="1134" w:bottom="1418" w:left="1701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 целите на проекта може да се използва микроконтролер от коя да е фамилия. Поради голямата разпространеност, приемливата цена и наличието на развойна система и програматор, за проекта е избран микроконтролер от фамилията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STM32.</w:t>
      </w:r>
      <w:r w:rsidR="00044F0C"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  <w:t xml:space="preserve"> 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Схемата на търсещия осцилатор е 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от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вида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„г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енератор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Колпит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За буфериране на сигнала от </w:t>
      </w:r>
      <w:proofErr w:type="spellStart"/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осцилатора</w:t>
      </w:r>
      <w:proofErr w:type="spellEnd"/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подготвяне за п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рочитане от микроконтролера е използван компаратор с еднополярно захранване. За управление на визуалната индикация е подбран светодиоден драйвер с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E1744A" w:rsidRPr="00E1744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управление, за да се минимизира необходимият брой изводи на микроконтролера. Самата индикация е реализирана чрез </w:t>
      </w:r>
      <w:proofErr w:type="spellStart"/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</w:t>
      </w:r>
      <w:proofErr w:type="spellEnd"/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стълбица с 10 сегмента, всеки от които с два цвята </w:t>
      </w:r>
      <w:proofErr w:type="spellStart"/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светодиоди</w:t>
      </w:r>
      <w:proofErr w:type="spellEnd"/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 себе си. Звуковата индикация е реализирана чрез извеждане на сигнал към 3.5мм жак, към който е предвидено външно да бъдат свързани слушалки.</w:t>
      </w:r>
    </w:p>
    <w:p w14:paraId="55C76C9B" w14:textId="2BAC5CDF" w:rsidR="00F4549B" w:rsidRPr="0034766F" w:rsidRDefault="00010989" w:rsidP="00204EB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48578E2F" wp14:editId="3AC0B6A6">
            <wp:extent cx="8902599" cy="6128127"/>
            <wp:effectExtent l="0" t="0" r="0" b="6350"/>
            <wp:docPr id="1527960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6036" name=""/>
                    <pic:cNvPicPr/>
                  </pic:nvPicPr>
                  <pic:blipFill rotWithShape="1">
                    <a:blip r:embed="rId11"/>
                    <a:srcRect l="3206" t="4418" r="3150" b="4432"/>
                    <a:stretch/>
                  </pic:blipFill>
                  <pic:spPr bwMode="auto">
                    <a:xfrm>
                      <a:off x="0" y="0"/>
                      <a:ext cx="8915631" cy="613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E391" w14:textId="65A49096" w:rsidR="00F4549B" w:rsidRPr="0034766F" w:rsidRDefault="00F4549B" w:rsidP="00F4549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F4549B" w:rsidRPr="0034766F" w:rsidSect="00204EB4">
          <w:footerReference w:type="default" r:id="rId12"/>
          <w:footerReference w:type="first" r:id="rId13"/>
          <w:pgSz w:w="16834" w:h="11909" w:orient="landscape"/>
          <w:pgMar w:top="1260" w:right="1411" w:bottom="29" w:left="1411" w:header="720" w:footer="288" w:gutter="0"/>
          <w:pgNumType w:start="9"/>
          <w:cols w:space="720"/>
          <w:docGrid w:linePitch="299"/>
        </w:sect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 w:rsidR="0043653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5.1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устройство</w:t>
      </w:r>
    </w:p>
    <w:p w14:paraId="746117C6" w14:textId="38B1645D" w:rsidR="00B711B2" w:rsidRPr="0043653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Оразмеряване</w:t>
      </w:r>
      <w:r w:rsidR="00AB33F4"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на блоковете</w:t>
      </w:r>
    </w:p>
    <w:p w14:paraId="019DEE26" w14:textId="4049E9D4" w:rsidR="00436533" w:rsidRPr="00436533" w:rsidRDefault="00436533" w:rsidP="00436533">
      <w:pPr>
        <w:pStyle w:val="a9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Блок „Търсещ осцилатор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0ED6C239" w14:textId="3E8A1319" w:rsidR="009D0504" w:rsidRDefault="000118EC" w:rsidP="009D0504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0118EC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drawing>
          <wp:inline distT="0" distB="0" distL="0" distR="0" wp14:anchorId="520B6ADE" wp14:editId="09234BB0">
            <wp:extent cx="5761990" cy="4370705"/>
            <wp:effectExtent l="0" t="0" r="0" b="0"/>
            <wp:docPr id="60915319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50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</w:t>
      </w:r>
    </w:p>
    <w:p w14:paraId="5E59FA45" w14:textId="31DA9AD6" w:rsidR="009D0504" w:rsidRPr="009D0504" w:rsidRDefault="009D0504" w:rsidP="009D050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„Търсещ осцилатор“</w:t>
      </w:r>
    </w:p>
    <w:p w14:paraId="59D98B16" w14:textId="77777777" w:rsidR="009D0504" w:rsidRPr="008D3CD2" w:rsidRDefault="009D0504" w:rsidP="009D0504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CBCEB8D" w14:textId="61E7E0DE" w:rsidR="008D3CD2" w:rsidRDefault="009D0504" w:rsidP="00C94CE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6.1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блока.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Преди да бъде оразмерена схемата, е необходимо да бъде избрана честота на осцилациите. При избор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подходяща честота трябва да се има предвид, че от нея силно зависят параметрите на металотърсача – дълбочина на проникване и чувствителност</w:t>
      </w:r>
      <w:r w:rsidR="00F01BEF" w:rsidRP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5</w:t>
      </w:r>
      <w:r w:rsidR="00F01BEF" w:rsidRP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]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Тези две характеристики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 съжаление са в обратна зависимост – при избор на ниска честота на осцилациите, дълбочината на проникване се увеличава, но чувствителността намалява, а при висока честота – обратно. Като компромис, повечето металотърсачи, изградени на този принцип, използват честота в рамките на десетки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kHz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Една често използвана честота е 100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kHz</w:t>
      </w:r>
      <w:r w:rsidR="00F873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такава е избрана и в случая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F873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</w:t>
      </w:r>
      <w:r w:rsidR="008D3C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размеряването на елементите е направено по следния алгоритъм:</w:t>
      </w:r>
    </w:p>
    <w:p w14:paraId="489AE6D7" w14:textId="4727016B" w:rsidR="008D3CD2" w:rsidRPr="007079CA" w:rsidRDefault="008D3CD2" w:rsidP="00C94CE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Оразмеряване на резонантната верига (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L1, C1, C2)</w:t>
      </w:r>
    </w:p>
    <w:p w14:paraId="4873CE8D" w14:textId="4DB0CBB2" w:rsidR="008D3CD2" w:rsidRP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Честотата 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на резонантната верига се определя по формулата:</w:t>
      </w:r>
    </w:p>
    <w:p w14:paraId="27B256E3" w14:textId="6B387BEE" w:rsidR="008D3CD2" w:rsidRPr="008106BA" w:rsidRDefault="008D3CD2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екв</m:t>
                      </m:r>
                    </m:sub>
                  </m:sSub>
                </m:e>
              </m:rad>
            </m:den>
          </m:f>
        </m:oMath>
      </m:oMathPara>
    </w:p>
    <w:p w14:paraId="516DC2B3" w14:textId="756FE0EF" w:rsidR="008D3CD2" w:rsidRPr="008106BA" w:rsidRDefault="008106BA" w:rsidP="00C94C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Където:</w:t>
      </w:r>
    </w:p>
    <w:p w14:paraId="1ADF6412" w14:textId="061ECC6B" w:rsidR="008106BA" w:rsidRPr="008106BA" w:rsidRDefault="008D3CD2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den>
          </m:f>
        </m:oMath>
      </m:oMathPara>
    </w:p>
    <w:p w14:paraId="295CBBFA" w14:textId="4058334E" w:rsidR="008106BA" w:rsidRP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Коефициентът на обратната връзка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дефинира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като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13FB7A9A" w14:textId="2F583120" w:rsidR="008106BA" w:rsidRPr="008106BA" w:rsidRDefault="008106BA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cap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cap</m:t>
                      </m:r>
                    </m:sub>
                  </m:sSub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⋅100%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⋅100%</m:t>
          </m:r>
        </m:oMath>
      </m:oMathPara>
    </w:p>
    <w:p w14:paraId="0E61A40A" w14:textId="0B74D0F8" w:rsidR="003B5CA4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правилно функциониране на генератора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 необход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имо коефициентът на обратната връзка да бъде подбран по такъв начин, че да е достатъчно голям</w:t>
      </w:r>
      <w:r w:rsidR="00B168E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913B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така че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да се предотврати затихване на трептенията, но и достатъчно малък, така че да не се получат изкривявания в изхода. В случая е избран коефициент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F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10%.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</w:p>
    <w:p w14:paraId="5371150B" w14:textId="46FBCCC3" w:rsid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Кондензаторите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подбират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по такъв начин, че изчисленият брой навивки на търсещата намотка да се получи достатъчно голям при зададения диаметър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избраната честота на </w:t>
      </w:r>
      <w:proofErr w:type="spellStart"/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осцилатора</w:t>
      </w:r>
      <w:proofErr w:type="spellEnd"/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Избрани са стойности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3B5CA4" w:rsidRPr="003B5CA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=100nF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=10nF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В този случай, еквивалентният им капацитет е:</w:t>
      </w:r>
    </w:p>
    <w:p w14:paraId="18FF1E30" w14:textId="78A7CD15" w:rsidR="00913BD2" w:rsidRPr="00C94CE1" w:rsidRDefault="003B5CA4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9 . 10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F=9nF</m:t>
          </m:r>
        </m:oMath>
      </m:oMathPara>
    </w:p>
    <w:p w14:paraId="1BE42BEB" w14:textId="198DC41E" w:rsidR="00A910FE" w:rsidRPr="00455ECE" w:rsidRDefault="00A910F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  <w:t>При това положение, индуктивността на търсещата намотка трябва да бъде:</w:t>
      </w:r>
    </w:p>
    <w:p w14:paraId="475954B0" w14:textId="4EECF635" w:rsidR="00A910FE" w:rsidRPr="00C94CE1" w:rsidRDefault="00A910F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екв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3,14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100 . 10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9 . 10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=281,45μH</m:t>
          </m:r>
        </m:oMath>
      </m:oMathPara>
    </w:p>
    <w:p w14:paraId="15EA6751" w14:textId="77EBB6C1" w:rsidR="008106BA" w:rsidRDefault="00455EC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Изчислението за броя навивки се прави</w:t>
      </w:r>
      <w:r w:rsidR="0088125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базата на 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формулата на Уилър</w:t>
      </w:r>
      <w:r w:rsidR="0088125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за </w:t>
      </w:r>
      <w:r w:rsidR="0086443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плосък спираловиден индуктор</w:t>
      </w:r>
      <w:r w:rsidR="0086443C" w:rsidRPr="0086443C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[6]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Важно уточнение за тази формула е че е необходимо всички размери да </w:t>
      </w:r>
      <w:r w:rsidR="00265F9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са 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 инчове</w:t>
      </w:r>
      <w:r w:rsidR="0086443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7ABB2D3B" w14:textId="2C70B90A" w:rsidR="00C94CE1" w:rsidRDefault="0086443C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μH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8r+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w</m:t>
              </m:r>
            </m:den>
          </m:f>
        </m:oMath>
      </m:oMathPara>
    </w:p>
    <w:p w14:paraId="0CD59C7F" w14:textId="586F0882" w:rsidR="00C94CE1" w:rsidRPr="00C94CE1" w:rsidRDefault="0086443C" w:rsidP="003E64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Където: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</w:p>
    <w:p w14:paraId="2DA2744F" w14:textId="0F66541A" w:rsidR="00C94CE1" w:rsidRPr="00CD23EC" w:rsidRDefault="00C94CE1" w:rsidP="00F22699">
      <w:pPr>
        <w:pStyle w:val="a9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r 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–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радиус 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на намотката (избран =</w:t>
      </w:r>
      <w:r w:rsidR="007079C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 w:rsidR="004E7379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0</w:t>
      </w:r>
      <w:r w:rsidR="004E7379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</w:t>
      </w:r>
      <w:r w:rsidR="000118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=</w:t>
      </w:r>
      <w:r w:rsidR="000118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3.937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in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)</w:t>
      </w:r>
    </w:p>
    <w:p w14:paraId="3AE8477C" w14:textId="36601955" w:rsidR="004E7379" w:rsidRPr="00CD23EC" w:rsidRDefault="004E7379" w:rsidP="00F22699">
      <w:pPr>
        <w:pStyle w:val="a9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w – 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разстояние между съседни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навивки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(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намотката ще се навива вертикално, това разстояние ще бъде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≈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мм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 може да се пренебрегне при изчисленията)</w:t>
      </w:r>
    </w:p>
    <w:p w14:paraId="51FAFFDE" w14:textId="28CF0E5D" w:rsidR="003E648E" w:rsidRPr="00CD23EC" w:rsidRDefault="004E7379" w:rsidP="00F22699">
      <w:pPr>
        <w:pStyle w:val="a9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 –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брой навивки</w:t>
      </w:r>
    </w:p>
    <w:p w14:paraId="48DC2BF3" w14:textId="0BA9C39D" w:rsidR="008106BA" w:rsidRDefault="003E648E" w:rsidP="003E648E">
      <w:pPr>
        <w:spacing w:line="360" w:lineRule="auto"/>
        <w:ind w:firstLine="720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Тогава:</w:t>
      </w:r>
    </w:p>
    <w:p w14:paraId="096E6116" w14:textId="258A73F0" w:rsidR="003E648E" w:rsidRPr="00265F94" w:rsidRDefault="003E648E" w:rsidP="003E648E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μH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 xml:space="preserve"> .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8 .r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in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+11 .w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in</m:t>
                          </m:r>
                        </m:e>
                      </m:d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in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281,45 . 8 . 3,937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3,937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23,91 нав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.</m:t>
          </m:r>
        </m:oMath>
      </m:oMathPara>
    </w:p>
    <w:p w14:paraId="558AB934" w14:textId="77777777" w:rsidR="003E648E" w:rsidRPr="004E7379" w:rsidRDefault="003E648E" w:rsidP="003E648E">
      <w:pPr>
        <w:ind w:firstLine="720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</w:p>
    <w:p w14:paraId="5EA8F93B" w14:textId="3A7A0BC9" w:rsidR="007079CA" w:rsidRPr="007079CA" w:rsidRDefault="007079CA" w:rsidP="007079C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Оразмеряване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усилвателя 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Q1, R2-R5, C3-C5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136E308A" w14:textId="68A47D2D" w:rsidR="007079CA" w:rsidRDefault="001C142A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За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</w:t>
      </w:r>
      <w:r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 избран стандартен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NPN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биполярен транзистор с широко разпространение и ниска цена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F22699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BC550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348C5A15" w14:textId="323EC665" w:rsidR="00F334EA" w:rsidRDefault="00F22699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колекторен ток, който да е достатъчно голям да поддържа осцилациите в резонантната верига и да захранва следващото стъпало на схемата. В случая е избран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F2269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За улеснение при изчисленията се приема, че 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="00F334EA" w:rsidRPr="00F334E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I</w:t>
      </w:r>
      <w:r w:rsidR="00F334EA" w:rsidRPr="00F334E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</w:p>
    <w:p w14:paraId="5BFB6901" w14:textId="5BA188F9" w:rsidR="00F22699" w:rsidRDefault="00F334EA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 правилото, че потенциалът 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емитера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трябва да бъде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около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10-20%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от захранващото напрежение (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0.1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</w:t>
      </w:r>
      <w:r w:rsidR="00F22699" w:rsidRPr="007C5DD5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CC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3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за да се осигури достатъчен размах в изхода на усилвателя (80-90% от захранващото напрежение). Изчислява се емитерният резистор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: </w:t>
      </w:r>
    </w:p>
    <w:p w14:paraId="18EFA4FD" w14:textId="3C99350F" w:rsidR="007A7802" w:rsidRPr="001A5185" w:rsidRDefault="007C5DD5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300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63D1E55C" w14:textId="5ADF0CF4" w:rsidR="008639EB" w:rsidRDefault="001A5185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330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7CC420CA" w14:textId="2E277C71" w:rsidR="001A5185" w:rsidRPr="001A5185" w:rsidRDefault="008639EB" w:rsidP="008639EB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=330 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=0,33V</m:t>
          </m:r>
        </m:oMath>
      </m:oMathPara>
    </w:p>
    <w:p w14:paraId="27945E46" w14:textId="5DB436C7" w:rsidR="001A5185" w:rsidRDefault="00F334EA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  <w:t xml:space="preserve">За да се постигне максимален размах на изходното напрежение, 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падът върху колекторния резистор</w:t>
      </w:r>
      <w:r w:rsidR="001A5185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трябва да се равнява на половината от оставащото напрежение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се, че 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 w:rsidR="00752EBA" w:rsidRPr="00752EB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CE(sat)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0.25V)</w:t>
      </w:r>
      <w:r w:rsidR="001A5185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699CA59" w14:textId="65186328" w:rsidR="00752EBA" w:rsidRPr="00752EBA" w:rsidRDefault="001A5185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sat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0,33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=1,21V</m:t>
          </m:r>
        </m:oMath>
      </m:oMathPara>
    </w:p>
    <w:p w14:paraId="543EF857" w14:textId="008B4E3B" w:rsidR="00F334EA" w:rsidRPr="001A5185" w:rsidRDefault="001A5185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Изчислява се колекторният резистор</w:t>
      </w:r>
    </w:p>
    <w:p w14:paraId="3D0EB935" w14:textId="655F307A" w:rsidR="00F334EA" w:rsidRPr="001A5185" w:rsidRDefault="00F334EA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1,21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1,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21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1B71DCDB" w14:textId="17CEA9CD" w:rsidR="007A7802" w:rsidRDefault="008639EB" w:rsidP="00CE1FC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</w:t>
      </w:r>
      <w:r w:rsidR="00CE1FC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CE1FC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резистор 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0743A"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4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1.</w:t>
      </w:r>
      <w:r w:rsidR="00752EBA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2</w:t>
      </w:r>
      <w:proofErr w:type="spellStart"/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proofErr w:type="spellEnd"/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</w:t>
      </w:r>
      <w:r w:rsidR="007A780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7CF62EA0" w14:textId="01AE0819" w:rsidR="007A7802" w:rsidRPr="007A7802" w:rsidRDefault="007A7802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=3-1,2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=1,8V</m:t>
          </m:r>
        </m:oMath>
      </m:oMathPara>
    </w:p>
    <w:p w14:paraId="767451E8" w14:textId="1350F5E6" w:rsidR="007A7802" w:rsidRPr="007A7802" w:rsidRDefault="007A7802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Т.е. размахът в изхода е:</w:t>
      </w:r>
    </w:p>
    <w:p w14:paraId="730A7C44" w14:textId="733E6D32" w:rsidR="00B06507" w:rsidRPr="0000737E" w:rsidRDefault="00B06507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p-p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 .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 .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3-1,8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=2,4V</m:t>
          </m:r>
        </m:oMath>
      </m:oMathPara>
    </w:p>
    <w:p w14:paraId="24661A64" w14:textId="77777777" w:rsidR="0000737E" w:rsidRDefault="0000737E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8D551E3" w14:textId="75E16BD2" w:rsidR="0000737E" w:rsidRDefault="007A7802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Изчислението на резисторите в базовия делител започва с избор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7A7802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се, че коефициентът на усилване по ток на избрания транзистор е </w:t>
      </w:r>
      <w:proofErr w:type="spellStart"/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</w:t>
      </w:r>
      <w:r w:rsidR="0000737E"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FE</w:t>
      </w:r>
      <w:proofErr w:type="spellEnd"/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&gt;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100.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Избира се ток през делителя, който е поне 10 пъти по-голям от ток</w:t>
      </w:r>
      <w:r w:rsidR="00B02A1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а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който се очаква да тече през базата, т.е.:</w:t>
      </w:r>
    </w:p>
    <w:p w14:paraId="2E8A3C69" w14:textId="0944A2E1" w:rsidR="0000737E" w:rsidRPr="0000737E" w:rsidRDefault="0000737E" w:rsidP="0000737E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10⋅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mA=100μA</m:t>
          </m:r>
        </m:oMath>
      </m:oMathPara>
    </w:p>
    <w:p w14:paraId="5DB3DD12" w14:textId="735CD13F" w:rsidR="007A7802" w:rsidRDefault="0000737E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Приема се, че падът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BE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0.7V.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</w:t>
      </w:r>
      <w:r w:rsidR="007A7802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5834EF74" w14:textId="0DED4E12" w:rsidR="007A7802" w:rsidRPr="00504684" w:rsidRDefault="00504684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=0,33+0,7=1,03V</m:t>
          </m:r>
        </m:oMath>
      </m:oMathPara>
    </w:p>
    <w:p w14:paraId="0C7279F9" w14:textId="64FB0E02" w:rsidR="00504684" w:rsidRPr="00504684" w:rsidRDefault="00504684" w:rsidP="005046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Изчислява се резисторът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5758534" w14:textId="0A3BBCB0" w:rsidR="00B06507" w:rsidRPr="00504684" w:rsidRDefault="00504684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1,03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0,1 .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=10,3k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7C18B17A" w14:textId="290EC666" w:rsidR="00504684" w:rsidRDefault="008639EB" w:rsidP="00CE7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резистор 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3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proofErr w:type="spellStart"/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proofErr w:type="spellEnd"/>
      <w:r w:rsid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 w:rsidR="00CE71C2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Тогава:</w:t>
      </w:r>
    </w:p>
    <w:p w14:paraId="247DF5DF" w14:textId="26571F66" w:rsidR="00504684" w:rsidRPr="00504684" w:rsidRDefault="00504684" w:rsidP="005046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=10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.0,1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1V</m:t>
          </m:r>
        </m:oMath>
      </m:oMathPara>
    </w:p>
    <w:p w14:paraId="7E936FE6" w14:textId="0DD5FFCA" w:rsidR="00504684" w:rsidRPr="00504684" w:rsidRDefault="00504684" w:rsidP="005046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Приема се, че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R2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I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дел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Изчислява се резисторът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938BC5E" w14:textId="6AACDA1C" w:rsidR="00504684" w:rsidRPr="00B02A18" w:rsidRDefault="00504684" w:rsidP="00504684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0,1 .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414AB346" w14:textId="7D9B1CCB" w:rsidR="008639EB" w:rsidRDefault="00B02A18" w:rsidP="008639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0</w:t>
      </w:r>
      <w:proofErr w:type="spellStart"/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109F5F0F" w14:textId="2C685EDF" w:rsidR="00504684" w:rsidRDefault="00504684" w:rsidP="005046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1BB967FD" w14:textId="5C74E460" w:rsidR="00436533" w:rsidRPr="008639EB" w:rsidRDefault="00436533" w:rsidP="008639EB">
      <w:pPr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</w:pPr>
    </w:p>
    <w:p w14:paraId="7A0AFEBB" w14:textId="77777777" w:rsidR="008639EB" w:rsidRDefault="008639EB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4BDA00FD" w14:textId="337A6896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Резултати</w:t>
      </w:r>
    </w:p>
    <w:p w14:paraId="0564BFB5" w14:textId="77777777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Заключение</w:t>
      </w:r>
    </w:p>
    <w:p w14:paraId="5BB5F0B9" w14:textId="1242C561" w:rsidR="005F3679" w:rsidRPr="0034766F" w:rsidRDefault="005F3679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Съдържание</w:t>
      </w:r>
    </w:p>
    <w:p w14:paraId="0299FBF9" w14:textId="77777777" w:rsidR="00A851B9" w:rsidRPr="0034766F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51B3569" w14:textId="4BA23E67" w:rsidR="00B711B2" w:rsidRPr="0034766F" w:rsidRDefault="000726E5" w:rsidP="000726E5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Използвана литература</w:t>
      </w:r>
    </w:p>
    <w:p w14:paraId="169203AA" w14:textId="5F55B1DF" w:rsidR="00A851B9" w:rsidRPr="0034766F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hAnsi="Times New Roman" w:cs="Times New Roman"/>
          <w:sz w:val="28"/>
          <w:szCs w:val="28"/>
          <w:lang w:val="bg-BG"/>
        </w:rPr>
        <w:t xml:space="preserve">[1] </w:t>
      </w:r>
      <w:hyperlink r:id="rId15" w:history="1">
        <w:r w:rsidRPr="0034766F">
          <w:rPr>
            <w:rStyle w:val="aa"/>
            <w:rFonts w:ascii="Times New Roman" w:hAnsi="Times New Roman" w:cs="Times New Roman"/>
            <w:sz w:val="28"/>
            <w:szCs w:val="28"/>
            <w:lang w:val="bg-BG"/>
          </w:rPr>
          <w:t>https://en.wikipedia.org/wiki/Metal_detector</w:t>
        </w:r>
      </w:hyperlink>
    </w:p>
    <w:p w14:paraId="7FDCA886" w14:textId="60D56AD8" w:rsidR="00B711B2" w:rsidRPr="0034766F" w:rsidRDefault="00163EDC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[2] </w:t>
      </w:r>
      <w:hyperlink r:id="rId16" w:history="1">
        <w:r w:rsidRPr="0034766F">
          <w:rPr>
            <w:rStyle w:val="aa"/>
            <w:rFonts w:ascii="Times New Roman" w:eastAsia="Times New Roman" w:hAnsi="Times New Roman" w:cs="Times New Roman"/>
            <w:sz w:val="28"/>
            <w:szCs w:val="28"/>
            <w:lang w:val="bg-BG"/>
          </w:rPr>
          <w:t>https://gearupgrades.com/metal-detecting/resources/types-of-metal-detectors-vlf-pulse-induction-and-bfo/</w:t>
        </w:r>
      </w:hyperlink>
    </w:p>
    <w:p w14:paraId="7ED4C233" w14:textId="63753AFF" w:rsidR="00807A1A" w:rsidRPr="0034766F" w:rsidRDefault="00807A1A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[3] </w:t>
      </w:r>
      <w:hyperlink r:id="rId17" w:anchor="pt4" w:history="1">
        <w:r w:rsidRPr="0034766F">
          <w:rPr>
            <w:rStyle w:val="aa"/>
            <w:rFonts w:ascii="Times New Roman" w:eastAsia="Times New Roman" w:hAnsi="Times New Roman" w:cs="Times New Roman"/>
            <w:sz w:val="28"/>
            <w:szCs w:val="28"/>
            <w:lang w:val="bg-BG"/>
          </w:rPr>
          <w:t>https://electronics.howstuffworks.com/gadgets/other-gadgets/metal-detector.htm#pt4</w:t>
        </w:r>
      </w:hyperlink>
    </w:p>
    <w:p w14:paraId="1687C5AF" w14:textId="62C4662E" w:rsidR="00C629DF" w:rsidRPr="0034766F" w:rsidRDefault="00C629DF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[</w:t>
      </w:r>
      <w:r w:rsidR="00807A1A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4</w:t>
      </w: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] </w:t>
      </w:r>
      <w:hyperlink r:id="rId18" w:history="1">
        <w:r w:rsidRPr="0034766F">
          <w:rPr>
            <w:rStyle w:val="aa"/>
            <w:rFonts w:ascii="Times New Roman" w:eastAsia="Times New Roman" w:hAnsi="Times New Roman" w:cs="Times New Roman"/>
            <w:sz w:val="28"/>
            <w:szCs w:val="28"/>
            <w:lang w:val="bg-BG"/>
          </w:rPr>
          <w:t>https://www.minelab.com/community/treasure-talk/a-crash-course-in-everything-coils</w:t>
        </w:r>
      </w:hyperlink>
    </w:p>
    <w:p w14:paraId="274D5558" w14:textId="25669EF6" w:rsidR="00455ECE" w:rsidRDefault="001E2CD9" w:rsidP="000726E5">
      <w:pPr>
        <w:spacing w:line="360" w:lineRule="auto"/>
        <w:rPr>
          <w:rStyle w:val="aa"/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[5] </w:t>
      </w:r>
      <w:hyperlink r:id="rId19" w:history="1">
        <w:r w:rsidRPr="0034766F">
          <w:rPr>
            <w:rStyle w:val="aa"/>
            <w:rFonts w:ascii="Times New Roman" w:eastAsia="Times New Roman" w:hAnsi="Times New Roman" w:cs="Times New Roman"/>
            <w:sz w:val="28"/>
            <w:szCs w:val="28"/>
            <w:lang w:val="bg-BG"/>
          </w:rPr>
          <w:t>https://www.geotech1.com/pages/metdet/info/bfotheory/bfo.pdf</w:t>
        </w:r>
      </w:hyperlink>
    </w:p>
    <w:p w14:paraId="05EC8B70" w14:textId="31C3F5B5" w:rsidR="00C94CE1" w:rsidRDefault="00455ECE" w:rsidP="000726E5">
      <w:pPr>
        <w:spacing w:line="360" w:lineRule="auto"/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455ECE"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[6]</w:t>
      </w:r>
      <w:r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hyperlink r:id="rId20" w:history="1">
        <w:r w:rsidR="00C94CE1" w:rsidRPr="00C94CE1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https://pe2bz.philpem.me.uk/Power/-%20-%20Power-Design%20-%20-/HighVoltage/wheeler.htm</w:t>
        </w:r>
      </w:hyperlink>
    </w:p>
    <w:p w14:paraId="6DA3F5B2" w14:textId="79CFD97A" w:rsidR="00FD4A0A" w:rsidRDefault="00FD4A0A" w:rsidP="000726E5">
      <w:pPr>
        <w:spacing w:line="360" w:lineRule="auto"/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  <w:r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[7] </w:t>
      </w:r>
      <w:hyperlink r:id="rId21" w:history="1">
        <w:r w:rsidR="00F334EA" w:rsidRPr="00F334EA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https://electronics.stackexchange.com/questions/127491/how-to-choose-resistors-value-for-common-emitter-amplifier</w:t>
        </w:r>
      </w:hyperlink>
    </w:p>
    <w:p w14:paraId="52FF5223" w14:textId="77777777" w:rsidR="00C94CE1" w:rsidRDefault="00C94CE1" w:rsidP="000726E5">
      <w:pPr>
        <w:spacing w:line="360" w:lineRule="auto"/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791AE9AF" w14:textId="77777777" w:rsidR="00C94CE1" w:rsidRPr="00C94CE1" w:rsidRDefault="00C94CE1" w:rsidP="000726E5">
      <w:pPr>
        <w:spacing w:line="360" w:lineRule="auto"/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aa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94CE1" w:rsidRPr="00455ECE" w:rsidSect="00F4549B">
      <w:pgSz w:w="11909" w:h="16834"/>
      <w:pgMar w:top="1418" w:right="1134" w:bottom="1418" w:left="1701" w:header="720" w:footer="720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1B71" w14:textId="77777777" w:rsidR="00BE53B1" w:rsidRDefault="00BE53B1">
      <w:pPr>
        <w:spacing w:line="240" w:lineRule="auto"/>
      </w:pPr>
      <w:r>
        <w:separator/>
      </w:r>
    </w:p>
  </w:endnote>
  <w:endnote w:type="continuationSeparator" w:id="0">
    <w:p w14:paraId="6AE46A95" w14:textId="77777777" w:rsidR="00BE53B1" w:rsidRDefault="00BE5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BAC8" w14:textId="5F684C67" w:rsidR="00B711B2" w:rsidRPr="004639B1" w:rsidRDefault="000726E5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5518D3">
      <w:rPr>
        <w:rFonts w:ascii="Times New Roman" w:hAnsi="Times New Roman" w:cs="Times New Roman"/>
        <w:noProof/>
        <w:sz w:val="28"/>
        <w:szCs w:val="28"/>
      </w:rPr>
      <w:t>8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784BFF7E" w:rsidR="00F4549B" w:rsidRPr="00F4549B" w:rsidRDefault="005A2CB2" w:rsidP="005A2CB2">
        <w:pPr>
          <w:pStyle w:val="a7"/>
          <w:jc w:val="right"/>
        </w:pPr>
        <w:r w:rsidRPr="005A2C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A2CB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A2C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18D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A2CB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E788" w14:textId="33575240" w:rsidR="00F4549B" w:rsidRPr="00F4549B" w:rsidRDefault="00F4549B" w:rsidP="00F4549B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34766F">
      <w:rPr>
        <w:rFonts w:ascii="Times New Roman" w:hAnsi="Times New Roman" w:cs="Times New Roman"/>
        <w:noProof/>
        <w:sz w:val="28"/>
        <w:szCs w:val="28"/>
      </w:rPr>
      <w:t>10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F210" w14:textId="77777777" w:rsidR="00BE53B1" w:rsidRDefault="00BE53B1">
      <w:pPr>
        <w:spacing w:line="240" w:lineRule="auto"/>
      </w:pPr>
      <w:r>
        <w:separator/>
      </w:r>
    </w:p>
  </w:footnote>
  <w:footnote w:type="continuationSeparator" w:id="0">
    <w:p w14:paraId="1CD86FB1" w14:textId="77777777" w:rsidR="00BE53B1" w:rsidRDefault="00BE53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158A0"/>
    <w:multiLevelType w:val="multilevel"/>
    <w:tmpl w:val="599634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BC5632"/>
    <w:multiLevelType w:val="hybridMultilevel"/>
    <w:tmpl w:val="D9B6C7BA"/>
    <w:lvl w:ilvl="0" w:tplc="D0525AF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9365">
    <w:abstractNumId w:val="4"/>
  </w:num>
  <w:num w:numId="2" w16cid:durableId="822892617">
    <w:abstractNumId w:val="5"/>
  </w:num>
  <w:num w:numId="3" w16cid:durableId="40599379">
    <w:abstractNumId w:val="7"/>
  </w:num>
  <w:num w:numId="4" w16cid:durableId="1563104505">
    <w:abstractNumId w:val="0"/>
  </w:num>
  <w:num w:numId="5" w16cid:durableId="2108190922">
    <w:abstractNumId w:val="3"/>
  </w:num>
  <w:num w:numId="6" w16cid:durableId="2146115286">
    <w:abstractNumId w:val="8"/>
  </w:num>
  <w:num w:numId="7" w16cid:durableId="2066760808">
    <w:abstractNumId w:val="6"/>
  </w:num>
  <w:num w:numId="8" w16cid:durableId="544025670">
    <w:abstractNumId w:val="2"/>
  </w:num>
  <w:num w:numId="9" w16cid:durableId="115476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737E"/>
    <w:rsid w:val="00010989"/>
    <w:rsid w:val="000118EC"/>
    <w:rsid w:val="00044F0C"/>
    <w:rsid w:val="00054FD9"/>
    <w:rsid w:val="000726E5"/>
    <w:rsid w:val="00093978"/>
    <w:rsid w:val="000A4092"/>
    <w:rsid w:val="000B0B1A"/>
    <w:rsid w:val="000C3547"/>
    <w:rsid w:val="000E190C"/>
    <w:rsid w:val="00113217"/>
    <w:rsid w:val="001170A7"/>
    <w:rsid w:val="0012282E"/>
    <w:rsid w:val="00163EDC"/>
    <w:rsid w:val="00171E8D"/>
    <w:rsid w:val="001761DC"/>
    <w:rsid w:val="00184745"/>
    <w:rsid w:val="001A5185"/>
    <w:rsid w:val="001B3BC8"/>
    <w:rsid w:val="001C142A"/>
    <w:rsid w:val="001E2CD9"/>
    <w:rsid w:val="001E75DD"/>
    <w:rsid w:val="00204EB4"/>
    <w:rsid w:val="0020743A"/>
    <w:rsid w:val="00263209"/>
    <w:rsid w:val="00265F94"/>
    <w:rsid w:val="00272DAB"/>
    <w:rsid w:val="002B4583"/>
    <w:rsid w:val="002F31CF"/>
    <w:rsid w:val="0034766F"/>
    <w:rsid w:val="00370921"/>
    <w:rsid w:val="003878EE"/>
    <w:rsid w:val="003913BF"/>
    <w:rsid w:val="003B4D93"/>
    <w:rsid w:val="003B5CA4"/>
    <w:rsid w:val="003B7DF3"/>
    <w:rsid w:val="003E648E"/>
    <w:rsid w:val="003F6944"/>
    <w:rsid w:val="00436533"/>
    <w:rsid w:val="00451594"/>
    <w:rsid w:val="00455ECE"/>
    <w:rsid w:val="004639B1"/>
    <w:rsid w:val="004672B8"/>
    <w:rsid w:val="004A1433"/>
    <w:rsid w:val="004C47CD"/>
    <w:rsid w:val="004D25F9"/>
    <w:rsid w:val="004E336F"/>
    <w:rsid w:val="004E7379"/>
    <w:rsid w:val="004F468E"/>
    <w:rsid w:val="00504684"/>
    <w:rsid w:val="00505057"/>
    <w:rsid w:val="0053615C"/>
    <w:rsid w:val="00547BFB"/>
    <w:rsid w:val="005518D3"/>
    <w:rsid w:val="005673D1"/>
    <w:rsid w:val="00572BE7"/>
    <w:rsid w:val="005A2CB2"/>
    <w:rsid w:val="005F3679"/>
    <w:rsid w:val="00706B15"/>
    <w:rsid w:val="00707908"/>
    <w:rsid w:val="007079CA"/>
    <w:rsid w:val="007208C7"/>
    <w:rsid w:val="00752EBA"/>
    <w:rsid w:val="007578DF"/>
    <w:rsid w:val="007A7802"/>
    <w:rsid w:val="007C5DD5"/>
    <w:rsid w:val="007F52EC"/>
    <w:rsid w:val="00806569"/>
    <w:rsid w:val="00806EE4"/>
    <w:rsid w:val="00807A1A"/>
    <w:rsid w:val="008106BA"/>
    <w:rsid w:val="00813958"/>
    <w:rsid w:val="008376E5"/>
    <w:rsid w:val="008639EB"/>
    <w:rsid w:val="0086443C"/>
    <w:rsid w:val="0088125C"/>
    <w:rsid w:val="0088719F"/>
    <w:rsid w:val="008D3CD2"/>
    <w:rsid w:val="008F5012"/>
    <w:rsid w:val="00913BD2"/>
    <w:rsid w:val="00922B93"/>
    <w:rsid w:val="00981097"/>
    <w:rsid w:val="009D0504"/>
    <w:rsid w:val="009D078E"/>
    <w:rsid w:val="009D74C2"/>
    <w:rsid w:val="009E2B1C"/>
    <w:rsid w:val="009F3A5E"/>
    <w:rsid w:val="00A046B4"/>
    <w:rsid w:val="00A10DE4"/>
    <w:rsid w:val="00A238CB"/>
    <w:rsid w:val="00A34D8D"/>
    <w:rsid w:val="00A45EA1"/>
    <w:rsid w:val="00A52919"/>
    <w:rsid w:val="00A75EC0"/>
    <w:rsid w:val="00A8420D"/>
    <w:rsid w:val="00A851B9"/>
    <w:rsid w:val="00A910FE"/>
    <w:rsid w:val="00AB33F4"/>
    <w:rsid w:val="00AC5F1A"/>
    <w:rsid w:val="00B02A18"/>
    <w:rsid w:val="00B06507"/>
    <w:rsid w:val="00B168E7"/>
    <w:rsid w:val="00B711B2"/>
    <w:rsid w:val="00B81E12"/>
    <w:rsid w:val="00BA4C46"/>
    <w:rsid w:val="00BE53B1"/>
    <w:rsid w:val="00C35FA4"/>
    <w:rsid w:val="00C47863"/>
    <w:rsid w:val="00C629DF"/>
    <w:rsid w:val="00C94CE1"/>
    <w:rsid w:val="00CD23EC"/>
    <w:rsid w:val="00CE1FCA"/>
    <w:rsid w:val="00CE71C2"/>
    <w:rsid w:val="00D06293"/>
    <w:rsid w:val="00D12ADF"/>
    <w:rsid w:val="00D13A5A"/>
    <w:rsid w:val="00D24EF5"/>
    <w:rsid w:val="00D90326"/>
    <w:rsid w:val="00DB1E0D"/>
    <w:rsid w:val="00DD469B"/>
    <w:rsid w:val="00E10242"/>
    <w:rsid w:val="00E1744A"/>
    <w:rsid w:val="00E45A50"/>
    <w:rsid w:val="00E6195A"/>
    <w:rsid w:val="00E7259B"/>
    <w:rsid w:val="00E8259B"/>
    <w:rsid w:val="00E95738"/>
    <w:rsid w:val="00EE7266"/>
    <w:rsid w:val="00EE7D0D"/>
    <w:rsid w:val="00F01BEF"/>
    <w:rsid w:val="00F11455"/>
    <w:rsid w:val="00F22699"/>
    <w:rsid w:val="00F334EA"/>
    <w:rsid w:val="00F4549B"/>
    <w:rsid w:val="00F54BCB"/>
    <w:rsid w:val="00F84032"/>
    <w:rsid w:val="00F84E60"/>
    <w:rsid w:val="00F87398"/>
    <w:rsid w:val="00FC4EA3"/>
    <w:rsid w:val="00FD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4639B1"/>
  </w:style>
  <w:style w:type="paragraph" w:styleId="a7">
    <w:name w:val="footer"/>
    <w:basedOn w:val="a"/>
    <w:link w:val="a8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4639B1"/>
  </w:style>
  <w:style w:type="paragraph" w:styleId="a9">
    <w:name w:val="List Paragraph"/>
    <w:basedOn w:val="a"/>
    <w:uiPriority w:val="34"/>
    <w:qFormat/>
    <w:rsid w:val="00A851B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63EDC"/>
    <w:rPr>
      <w:color w:val="0000FF" w:themeColor="hyperlink"/>
      <w:u w:val="single"/>
    </w:rPr>
  </w:style>
  <w:style w:type="character" w:customStyle="1" w:styleId="10">
    <w:name w:val="Неразрешено споменаване1"/>
    <w:basedOn w:val="a0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C629D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C629D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29DF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C629DF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8D3CD2"/>
    <w:rPr>
      <w:color w:val="666666"/>
    </w:rPr>
  </w:style>
  <w:style w:type="character" w:styleId="af2">
    <w:name w:val="Unresolved Mention"/>
    <w:basedOn w:val="a0"/>
    <w:uiPriority w:val="99"/>
    <w:semiHidden/>
    <w:unhideWhenUsed/>
    <w:rsid w:val="0045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s://www.minelab.com/community/treasure-talk/a-crash-course-in-everything-coi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ectronics.stackexchange.com/questions/127491/how-to-choose-resistors-value-for-common-emitter-amplifier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lectronics.howstuffworks.com/gadgets/other-gadgets/metal-detecto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arupgrades.com/metal-detecting/resources/types-of-metal-detectors-vlf-pulse-induction-and-bfo/" TargetMode="External"/><Relationship Id="rId20" Type="http://schemas.openxmlformats.org/officeDocument/2006/relationships/hyperlink" Target="https://pe2bz.philpem.me.uk/Power/-%20-%20Power-Design%20-%20-/HighVoltage/wheeler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etal_detector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geotech1.com/pages/metdet/info/bfotheory/bf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2329</Words>
  <Characters>13277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NikTul</dc:creator>
  <cp:lastModifiedBy>Antov Iliyan</cp:lastModifiedBy>
  <cp:revision>39</cp:revision>
  <dcterms:created xsi:type="dcterms:W3CDTF">2023-12-15T05:35:00Z</dcterms:created>
  <dcterms:modified xsi:type="dcterms:W3CDTF">2023-12-15T13:49:00Z</dcterms:modified>
</cp:coreProperties>
</file>