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  <w:u w:val="single"/>
          <w:lang w:val="bg-BG"/>
        </w:rPr>
      </w:pPr>
      <w:r>
        <w:rPr>
          <w:b/>
          <w:bCs/>
          <w:color w:val="2A6099"/>
          <w:sz w:val="40"/>
          <w:szCs w:val="40"/>
          <w:u w:val="single"/>
          <w:lang w:val="bg-BG"/>
        </w:rPr>
        <w:t>Технически университет Варна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Катедра: ФИТА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Специалност: СИТ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80"/>
          <w:szCs w:val="80"/>
          <w:u w:val="single"/>
          <w:lang w:val="bg-BG"/>
        </w:rPr>
      </w:pP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>Тема: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80"/>
          <w:szCs w:val="80"/>
          <w:u w:val="single"/>
          <w:lang w:val="bg-BG"/>
        </w:rPr>
      </w:pP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 xml:space="preserve"> </w:t>
      </w: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>Система за организиране и следене на инвентар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 : Илиян Костов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19621609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Име: Хакан Мехмедов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19621700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w:t xml:space="preserve">Задание на проект : 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-76835</wp:posOffset>
                </wp:positionH>
                <wp:positionV relativeFrom="paragraph">
                  <wp:posOffset>101600</wp:posOffset>
                </wp:positionV>
                <wp:extent cx="6735445" cy="7383145"/>
                <wp:effectExtent l="0" t="0" r="0" b="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80" cy="7382520"/>
                          <a:chOff x="-76680" y="101520"/>
                          <a:chExt cx="6734880" cy="7382520"/>
                        </a:xfrm>
                      </wpg:grpSpPr>
                      <wps:wsp>
                        <wps:cNvSpPr txBox="1"/>
                        <wps:spPr>
                          <a:xfrm>
                            <a:off x="228600" y="0"/>
                            <a:ext cx="343440" cy="2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IDFont+F1" w:hAnsi="CIDFont+F1" w:cs="CIDFont+F1"/>
                                  <w:color w:val="000000"/>
                                </w:rPr>
                                <w:t xml:space="preserve">X.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86520" y="0"/>
                            <a:ext cx="5972040" cy="2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  за  организиране  и  следене  на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85800" y="290880"/>
                            <a:ext cx="1391400" cy="2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IDFont+F1" w:hAnsi="CIDFont+F1" w:cs="CIDFont+F1"/>
                                  <w:color w:val="000000"/>
                                </w:rPr>
                                <w:t xml:space="preserve">инвентар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7596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098000"/>
                            <a:ext cx="67348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Да се разработи информационна система, предоставяща възможност за организиране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257840"/>
                            <a:ext cx="28486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на информация за инвентаризация.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598400"/>
                            <a:ext cx="67348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два вида потребители – администратор и материално отговорно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757520"/>
                            <a:ext cx="9723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лице (МОЛ).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96280"/>
                            <a:ext cx="28011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Операции за работа с потребители: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244332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2443320"/>
                            <a:ext cx="32583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създаване на МОЛ-ове от администратор.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782080"/>
                            <a:ext cx="4191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операции за работа с инвентар: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13128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3131280"/>
                            <a:ext cx="62204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 с инвентарен номер, описание, тип (ДМА, МА), степен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291120"/>
                            <a:ext cx="20199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на амортизация (за ДМА);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46212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3462120"/>
                            <a:ext cx="52297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въвеждане на критерий за бракуване – години, състояние или др.;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63204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3632040"/>
                            <a:ext cx="20772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клиенти;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80160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3801600"/>
                            <a:ext cx="44391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продукти към картоните на клиентите;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97188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3971880"/>
                            <a:ext cx="25912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отписване на продукт от картон;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414144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4141440"/>
                            <a:ext cx="45630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автоматично изчисляване за прехвърляне от ДМА към МА;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431028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4310280"/>
                            <a:ext cx="17913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650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989240"/>
                            <a:ext cx="440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Справки по произволен период за: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533664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5336640"/>
                            <a:ext cx="415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клиенти със регистрираните на тяхно име продукти;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550656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5506560"/>
                            <a:ext cx="23248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пълен списък на продуктите;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567612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5676120"/>
                            <a:ext cx="24674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списък по категории – ДМА,МА;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584640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5846400"/>
                            <a:ext cx="16675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бракувани продукти;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601596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6015960"/>
                            <a:ext cx="31532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статус на продукта – наличен, липсващ;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3543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692760"/>
                            <a:ext cx="2686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Известия за: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7041600"/>
                            <a:ext cx="172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7041600"/>
                            <a:ext cx="32770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процес на трансформация от ДМА към МА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7211160"/>
                            <a:ext cx="172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6480" y="7211160"/>
                            <a:ext cx="17438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6.05pt;margin-top:8pt;width:530.3pt;height:581.3pt" coordorigin="-121,160" coordsize="10606,1162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39;top:160;width:540;height:468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IDFont+F1" w:hAnsi="CIDFont+F1" w:cs="CIDFont+F1"/>
                            <w:color w:val="000000"/>
                          </w:rPr>
                          <w:t xml:space="preserve">X.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60;top:160;width:9404;height:468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IDFont+F1" w:hAnsi="CIDFont+F1" w:cs="CIDFont+F1"/>
                            <w:color w:val="000000"/>
                          </w:rPr>
                          <w:t xml:space="preserve">Система  за  организиране  и  следене  на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59;top:618;width:2190;height:468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IDFont+F1" w:hAnsi="CIDFont+F1" w:cs="CIDFont+F1"/>
                            <w:color w:val="000000"/>
                          </w:rPr>
                          <w:t xml:space="preserve">инвентар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1356;width:219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1889;width:10605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Да се разработи информационна система, предоставяща възможност за организиране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2141;width:4485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на информация за инвентаризация.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2677;width:1060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два вида потребители – администратор и материално отговорно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2928;width:153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лице (МОЛ).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3461;width:441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Операции за работа с потребители: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4008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4008;width:513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създаване на МОЛ-ове от администратор.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4541;width:660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операции за работа с инвентар: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5091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5091;width:979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 с инвентарен номер, описание, тип (ДМА, МА), степен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9;top:5343;width:318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на амортизация (за ДМА);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5612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5612;width:823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въвеждане на критерий за бракуване – години, състояние или др.;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5880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5880;width:3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регистриране на клиенти;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6147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6147;width:699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продукти към картоните на клиентите;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6415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6415;width:408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отписване на продукт от картон;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6682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6682;width:718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автоматично изчисляване за прехвърляне от ДМА към 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6948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6948;width:282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7484;width:219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8017;width:693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Справки по произволен период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8564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8564;width:654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клиенти със регистрираните на тяхно име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8832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8832;width:366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пълен списък на продуктите;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9099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9099;width:388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списък по категории – ДМА,МА;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9367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9367;width:2625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бракувани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9634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9634;width:496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статус на продукта – наличен, липсващ;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10167;width:219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121;top:10700;width:423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Известия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11249;width:27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11249;width:5160;height:270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процес на трансформация от ДМА към МА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9;top:11516;width:270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;top:11516;width:2745;height:269;mso-wrap-style:none;v-text-anchor:top" type="_x0000_t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t xml:space="preserve">Функционални изисквания: 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139065</wp:posOffset>
            </wp:positionV>
            <wp:extent cx="7499985" cy="66459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t>Структура на системата: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IDFont+F1">
    <w:charset w:val="00"/>
    <w:family w:val="auto"/>
    <w:pitch w:val="default"/>
  </w:font>
  <w:font w:name="CIDFont+F8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LibreOffice/7.2.2.2$Windows_X86_64 LibreOffice_project/02b2acce88a210515b4a5bb2e46cbfb63fe97d56</Application>
  <AppVersion>15.0000</AppVersion>
  <Pages>6</Pages>
  <Words>35</Words>
  <Characters>231</Characters>
  <CharactersWithSpaces>257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2021-10-29T17:47:24Z</dcterms:modified>
  <cp:revision>4</cp:revision>
  <dc:subject/>
  <dc:title/>
</cp:coreProperties>
</file>