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4F" w:rsidRP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bookmarkStart w:id="0" w:name="_GoBack"/>
      <w:bookmarkEnd w:id="0"/>
      <w:proofErr w:type="spell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4.</w:t>
      </w:r>
      <w:proofErr w:type="gram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>sahəsində</w:t>
      </w:r>
      <w:proofErr w:type="spell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>dövlət</w:t>
      </w:r>
      <w:proofErr w:type="spell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B5714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B5714F" w:rsidRPr="00580E76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proofErr w:type="spellStart"/>
      <w:r w:rsidRPr="00580E76">
        <w:rPr>
          <w:rFonts w:ascii="Tahoma" w:hAnsi="Tahoma" w:cs="Tahoma"/>
          <w:i/>
          <w:color w:val="0070C0"/>
          <w:lang w:val="en-US"/>
        </w:rPr>
        <w:t>Yol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580E76">
        <w:rPr>
          <w:rFonts w:ascii="Tahoma" w:hAnsi="Tahoma" w:cs="Tahoma"/>
          <w:i/>
          <w:color w:val="0070C0"/>
          <w:lang w:val="en-US"/>
        </w:rPr>
        <w:t>hərəkəti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580E76">
        <w:rPr>
          <w:rFonts w:ascii="Tahoma" w:hAnsi="Tahoma" w:cs="Tahoma"/>
          <w:i/>
          <w:color w:val="0070C0"/>
          <w:lang w:val="en-US"/>
        </w:rPr>
        <w:t>sahəsində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580E76">
        <w:rPr>
          <w:rFonts w:ascii="Tahoma" w:hAnsi="Tahoma" w:cs="Tahoma"/>
          <w:i/>
          <w:color w:val="0070C0"/>
          <w:lang w:val="en-US"/>
        </w:rPr>
        <w:t>dövlətin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580E76">
        <w:rPr>
          <w:rFonts w:ascii="Tahoma" w:hAnsi="Tahoma" w:cs="Tahoma"/>
          <w:i/>
          <w:color w:val="0070C0"/>
          <w:lang w:val="en-US"/>
        </w:rPr>
        <w:t>aşağıdakı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580E76">
        <w:rPr>
          <w:rFonts w:ascii="Tahoma" w:hAnsi="Tahoma" w:cs="Tahoma"/>
          <w:i/>
          <w:color w:val="0070C0"/>
          <w:lang w:val="en-US"/>
        </w:rPr>
        <w:t>vəzifələri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580E76">
        <w:rPr>
          <w:rFonts w:ascii="Tahoma" w:hAnsi="Tahoma" w:cs="Tahoma"/>
          <w:i/>
          <w:color w:val="0070C0"/>
          <w:lang w:val="en-US"/>
        </w:rPr>
        <w:t>vardır</w:t>
      </w:r>
      <w:proofErr w:type="spellEnd"/>
      <w:r w:rsidRPr="00580E76">
        <w:rPr>
          <w:rFonts w:ascii="Tahoma" w:hAnsi="Tahoma" w:cs="Tahoma"/>
          <w:i/>
          <w:color w:val="0070C0"/>
          <w:lang w:val="en-US"/>
        </w:rPr>
        <w:t>: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siyasətini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>
        <w:rPr>
          <w:rFonts w:ascii="Tahoma" w:hAnsi="Tahoma" w:cs="Tahoma"/>
          <w:color w:val="3C3C3C"/>
          <w:lang w:val="en-US"/>
        </w:rPr>
        <w:t>cümlədən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elmi-texniki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siyasəti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normativ-hüquqi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3)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inkişafının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əlaqələndirilməsini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4)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inkişafına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şəbəkəsinin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inkişaf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ekoloji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fondundan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büdcəsindən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maliyyələşdirmək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5)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>
        <w:rPr>
          <w:rFonts w:ascii="Tahoma" w:hAnsi="Tahoma" w:cs="Tahoma"/>
          <w:color w:val="3C3C3C"/>
          <w:lang w:val="en-US"/>
        </w:rPr>
        <w:t>cümlədən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avtomatlaşdırılmış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qəza-xilasetmə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6)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təmirinə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saxlanılmasına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istehsal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konstruksiyasına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7)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daxili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8)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nümunələrini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9)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ekoloji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ehtiyaclarının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təmirini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10)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11)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>
        <w:rPr>
          <w:rFonts w:ascii="Tahoma" w:hAnsi="Tahoma" w:cs="Tahoma"/>
          <w:color w:val="3C3C3C"/>
          <w:lang w:val="en-US"/>
        </w:rPr>
        <w:t>cümlədən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çəkənlərə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12)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məktəb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kursların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nəzəri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təcrübi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imtahanlar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imtahanlardan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müvəffəqiyyətlə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keçənlərə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13)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əhaliyə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təbliği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14)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planlarına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müfəssəl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planlaşdırılması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kompleks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rayon (</w:t>
      </w:r>
      <w:proofErr w:type="spellStart"/>
      <w:r>
        <w:rPr>
          <w:rFonts w:ascii="Tahoma" w:hAnsi="Tahoma" w:cs="Tahoma"/>
          <w:color w:val="3C3C3C"/>
          <w:lang w:val="en-US"/>
        </w:rPr>
        <w:t>şəhər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ərazilərində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avtomatlaşdırılmış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15)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pullu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qarajlarda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16)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məsələləri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elmi-tədqiqat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17)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yaxşılaşdırmaq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təmir-tikinti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müntəzəm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marşrutlarının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18)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dövri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konstruksiyası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mühərrik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ban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şassi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19)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konstruksiyalarının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aqreqat</w:t>
      </w:r>
      <w:proofErr w:type="spellEnd"/>
      <w:r>
        <w:rPr>
          <w:rFonts w:ascii="Tahoma" w:hAnsi="Tahoma" w:cs="Tahoma"/>
          <w:color w:val="3C3C3C"/>
          <w:lang w:val="en-US"/>
        </w:rPr>
        <w:t xml:space="preserve">, ban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 </w:t>
      </w:r>
      <w:proofErr w:type="spellStart"/>
      <w:r>
        <w:rPr>
          <w:rFonts w:ascii="Tahoma" w:hAnsi="Tahoma" w:cs="Tahoma"/>
          <w:color w:val="3C3C3C"/>
          <w:lang w:val="en-US"/>
        </w:rPr>
        <w:t>hissələrinin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dəyişdirilməsinə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20)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istehsal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baxımından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rəylər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sınaqlarında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nümunələrin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məmulatın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istehsalını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21)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özgəninkiləşdirilməsinin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sənədləşdirilməsini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ipoteka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əmlakın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rəsmi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reyestrindən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çıxarışı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22)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səmərəli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rahat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23)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funksiyalarını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stasionar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postların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siyahısını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dislokasiyasını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postları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binalarla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rabitə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çəkənlərə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ilk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ləvazimatla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dava-dərmanla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insanın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yaclarının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24)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yüngülləşdirmək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qəza-xilasetmə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cihazların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təbliğinə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təşviqat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məhsulların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blanklarının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şəhadətnamələrinin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sifarişçisi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istehsalçısı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funksiyalarını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struktur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25)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cinayət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təhqiqatın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 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26)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zədələnmiş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əmlakın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qaçırılmış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oğurlanmış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qaçıb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gizlənmiş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axtarılmasını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27)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məhrum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şəxslərin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cərimələr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silinməsi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rəsmi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internet </w:t>
      </w:r>
      <w:proofErr w:type="spellStart"/>
      <w:r>
        <w:rPr>
          <w:rFonts w:ascii="Tahoma" w:hAnsi="Tahoma" w:cs="Tahoma"/>
          <w:color w:val="3C3C3C"/>
          <w:lang w:val="en-US"/>
        </w:rPr>
        <w:t>informasiya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ehtiyatlarından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28)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orada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şəhərlərdən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5714F" w:rsidRDefault="00B5714F" w:rsidP="00B5714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5714F">
        <w:rPr>
          <w:rFonts w:ascii="Tahoma" w:hAnsi="Tahoma" w:cs="Tahoma"/>
          <w:b/>
          <w:color w:val="0070C0"/>
          <w:lang w:val="en-US"/>
        </w:rPr>
        <w:t>29)</w:t>
      </w:r>
      <w:r w:rsidRPr="00B5714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yetirmək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291729" w:rsidRPr="00B5714F" w:rsidRDefault="00291729">
      <w:pPr>
        <w:rPr>
          <w:lang w:val="en-US"/>
        </w:rPr>
      </w:pPr>
    </w:p>
    <w:sectPr w:rsidR="00291729" w:rsidRPr="00B5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4F"/>
    <w:rsid w:val="00291729"/>
    <w:rsid w:val="00580E76"/>
    <w:rsid w:val="00B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4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4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2</cp:revision>
  <dcterms:created xsi:type="dcterms:W3CDTF">2014-06-24T11:58:00Z</dcterms:created>
  <dcterms:modified xsi:type="dcterms:W3CDTF">2014-06-24T12:37:00Z</dcterms:modified>
</cp:coreProperties>
</file>