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F2" w:rsidRP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50.</w:t>
      </w:r>
      <w:proofErr w:type="gram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sürəti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vasitələri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arasında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proofErr w:type="gram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ara</w:t>
      </w:r>
      <w:proofErr w:type="spellEnd"/>
      <w:proofErr w:type="gram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>məsafəsi</w:t>
      </w:r>
      <w:proofErr w:type="spellEnd"/>
      <w:r w:rsidRPr="005715F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I.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intensivliyini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xüsusiyyətlərini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meteoroloji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gördükdə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II.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1)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60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səlahiyyətli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90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bilməz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2)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minik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avtomagistrallarda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110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90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3)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şəhərlərarası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kiçik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90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4)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yedəyində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kənarda:avtomagistrallarda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90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70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5)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6)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yedəyində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7)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daşıma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razılaşdırılarkən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III.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ara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seçməlidir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azaltdıqda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gözlənilmədən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toqquşmanın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olsun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IV.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asanlaşdırmaq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asta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kifayət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ara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məsafəsi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çatdırsınlar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əməliyyatına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başlamışdırsa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ötürsə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V.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rejimli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irəli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cür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VI.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t>1)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xarakteristikası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color w:val="0070C0"/>
          <w:lang w:val="en-US"/>
        </w:rPr>
        <w:lastRenderedPageBreak/>
        <w:t>2)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lüzumsuz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5715F2">
        <w:rPr>
          <w:rFonts w:ascii="Tahoma" w:hAnsi="Tahoma" w:cs="Tahoma"/>
          <w:b/>
          <w:color w:val="0070C0"/>
          <w:lang w:val="en-US"/>
        </w:rPr>
        <w:t>3)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tormozlamaq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5715F2" w:rsidRDefault="005715F2" w:rsidP="005715F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5715F2">
        <w:rPr>
          <w:rFonts w:ascii="Tahoma" w:hAnsi="Tahoma" w:cs="Tahoma"/>
          <w:b/>
          <w:i/>
          <w:color w:val="0070C0"/>
          <w:lang w:val="en-US"/>
        </w:rPr>
        <w:t>VII.</w:t>
      </w:r>
      <w:r w:rsidRPr="005715F2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stasionar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radarlardan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radarın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mövcudluğu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6.14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01625" cy="4083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 w:rsidRPr="001529DB">
        <w:rPr>
          <w:rFonts w:ascii="Tahoma" w:hAnsi="Tahoma" w:cs="Tahoma"/>
          <w:b/>
          <w:color w:val="FF0000"/>
          <w:lang w:val="en-US"/>
        </w:rPr>
        <w:t>“</w:t>
      </w:r>
      <w:proofErr w:type="spellStart"/>
      <w:r w:rsidRPr="001529DB">
        <w:rPr>
          <w:rFonts w:ascii="Tahoma" w:hAnsi="Tahoma" w:cs="Tahoma"/>
          <w:b/>
          <w:color w:val="FF0000"/>
          <w:lang w:val="en-US"/>
        </w:rPr>
        <w:t>İnformasiya</w:t>
      </w:r>
      <w:proofErr w:type="spellEnd"/>
      <w:r w:rsidRPr="001529D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1529DB">
        <w:rPr>
          <w:rFonts w:ascii="Tahoma" w:hAnsi="Tahoma" w:cs="Tahoma"/>
          <w:b/>
          <w:color w:val="FF0000"/>
          <w:lang w:val="en-US"/>
        </w:rPr>
        <w:t>stendi</w:t>
      </w:r>
      <w:proofErr w:type="spellEnd"/>
      <w:r w:rsidRPr="001529DB">
        <w:rPr>
          <w:rFonts w:ascii="Tahoma" w:hAnsi="Tahoma" w:cs="Tahoma"/>
          <w:b/>
          <w:color w:val="FF0000"/>
          <w:lang w:val="en-US"/>
        </w:rPr>
        <w:t>”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3.24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89255" cy="38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r w:rsidRPr="001529DB">
        <w:rPr>
          <w:rFonts w:ascii="Tahoma" w:hAnsi="Tahoma" w:cs="Tahoma"/>
          <w:b/>
          <w:color w:val="FF0000"/>
          <w:lang w:val="en-US"/>
        </w:rPr>
        <w:t>“</w:t>
      </w:r>
      <w:proofErr w:type="spellStart"/>
      <w:r w:rsidRPr="001529DB">
        <w:rPr>
          <w:rFonts w:ascii="Tahoma" w:hAnsi="Tahoma" w:cs="Tahoma"/>
          <w:b/>
          <w:color w:val="FF0000"/>
          <w:lang w:val="en-US"/>
        </w:rPr>
        <w:t>Maksimum</w:t>
      </w:r>
      <w:proofErr w:type="spellEnd"/>
      <w:r w:rsidRPr="001529D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1529DB">
        <w:rPr>
          <w:rFonts w:ascii="Tahoma" w:hAnsi="Tahoma" w:cs="Tahoma"/>
          <w:b/>
          <w:color w:val="FF0000"/>
          <w:lang w:val="en-US"/>
        </w:rPr>
        <w:t>sürətin</w:t>
      </w:r>
      <w:proofErr w:type="spellEnd"/>
      <w:r w:rsidRPr="001529DB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1529DB">
        <w:rPr>
          <w:rFonts w:ascii="Tahoma" w:hAnsi="Tahoma" w:cs="Tahoma"/>
          <w:b/>
          <w:color w:val="FF0000"/>
          <w:lang w:val="en-US"/>
        </w:rPr>
        <w:t>məhdudlaşdırılması</w:t>
      </w:r>
      <w:proofErr w:type="spellEnd"/>
      <w:r w:rsidRPr="001529DB">
        <w:rPr>
          <w:rFonts w:ascii="Tahoma" w:hAnsi="Tahoma" w:cs="Tahoma"/>
          <w:b/>
          <w:color w:val="FF0000"/>
          <w:lang w:val="en-US"/>
        </w:rPr>
        <w:t>”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3.24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>
            <wp:extent cx="379095" cy="3790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radardan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150-1000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50-200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F4C5B" w:rsidRPr="005715F2" w:rsidRDefault="00BF4C5B">
      <w:pPr>
        <w:rPr>
          <w:lang w:val="en-US"/>
        </w:rPr>
      </w:pPr>
    </w:p>
    <w:sectPr w:rsidR="00BF4C5B" w:rsidRPr="0057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F2"/>
    <w:rsid w:val="005715F2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F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2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F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2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2014-06-24T19:23:00Z</dcterms:created>
  <dcterms:modified xsi:type="dcterms:W3CDTF">2014-06-24T19:24:00Z</dcterms:modified>
</cp:coreProperties>
</file>