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6D" w:rsidRP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FA326D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FA326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52.</w:t>
      </w:r>
      <w:proofErr w:type="gramEnd"/>
      <w:r w:rsidRPr="00FA326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326D">
        <w:rPr>
          <w:rFonts w:ascii="Tahoma" w:hAnsi="Tahoma" w:cs="Tahoma"/>
          <w:b/>
          <w:color w:val="0070C0"/>
          <w:sz w:val="28"/>
          <w:szCs w:val="28"/>
          <w:lang w:val="en-US"/>
        </w:rPr>
        <w:t>Dayanma</w:t>
      </w:r>
      <w:proofErr w:type="spellEnd"/>
      <w:r w:rsidRPr="00FA326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326D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FA326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326D">
        <w:rPr>
          <w:rFonts w:ascii="Tahoma" w:hAnsi="Tahoma" w:cs="Tahoma"/>
          <w:b/>
          <w:color w:val="0070C0"/>
          <w:sz w:val="28"/>
          <w:szCs w:val="28"/>
          <w:lang w:val="en-US"/>
        </w:rPr>
        <w:t>durma</w:t>
      </w:r>
      <w:proofErr w:type="spellEnd"/>
      <w:r w:rsidRPr="00FA326D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FA326D" w:rsidRPr="002A740E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i/>
          <w:color w:val="0070C0"/>
          <w:lang w:val="en-US"/>
        </w:rPr>
        <w:t>I.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tutulmamışdırsa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cərgədə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Yanqoşqusu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motosikletlər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mopedlər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cərgədə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i/>
          <w:color w:val="0070C0"/>
          <w:lang w:val="en-US"/>
        </w:rPr>
        <w:t>II.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tərəfində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səbəbindən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birtərəfli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3</w:t>
      </w:r>
      <w:proofErr w:type="gramStart"/>
      <w:r>
        <w:rPr>
          <w:rFonts w:ascii="Tahoma" w:hAnsi="Tahoma" w:cs="Tahoma"/>
          <w:color w:val="3C3C3C"/>
          <w:lang w:val="en-US"/>
        </w:rPr>
        <w:t>,5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birtərəfli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tərəfində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götürmək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boşaltmaq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bitişik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motosikletlərə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mopedlərə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mane </w:t>
      </w:r>
      <w:proofErr w:type="spellStart"/>
      <w:r>
        <w:rPr>
          <w:rFonts w:ascii="Tahoma" w:hAnsi="Tahoma" w:cs="Tahoma"/>
          <w:color w:val="3C3C3C"/>
          <w:lang w:val="en-US"/>
        </w:rPr>
        <w:t>olmasın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i/>
          <w:color w:val="0070C0"/>
          <w:lang w:val="en-US"/>
        </w:rPr>
        <w:t>III.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uzunmüddətli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dincəlmə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gecələmə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istirahət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düzəldilmiş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i/>
          <w:color w:val="0070C0"/>
          <w:lang w:val="en-US"/>
        </w:rPr>
        <w:t>IV.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1)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bilavasitə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yaxınlığında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tramvayın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yaradarsa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2)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tunellərdə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estakadalarda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körpülərdə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altında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3)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1.1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7ED1B53" wp14:editId="4E3DFC4B">
            <wp:extent cx="564515" cy="301625"/>
            <wp:effectExtent l="0" t="0" r="698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1.3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B04AB7A" wp14:editId="3D33462E">
            <wp:extent cx="466725" cy="321310"/>
            <wp:effectExtent l="0" t="0" r="952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3182AE6" wp14:editId="0132B1BE">
            <wp:extent cx="612775" cy="330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üfüqi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3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4)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5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yaxınlıqda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5)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döngələrin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profilinin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əyintili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yaxınlığında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100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6)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5728AFC" wp14:editId="264AB8CB">
            <wp:extent cx="495935" cy="2628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- 1.4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BA01605" wp14:editId="67798239">
            <wp:extent cx="583565" cy="3111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üçtərəfli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yolayrıclarındakı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5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az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yaxınlıqda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7)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dayanacaq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meydança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5.12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34E7C52" wp14:editId="65043313">
            <wp:extent cx="340360" cy="408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5.13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D283F35" wp14:editId="3C0DD641">
            <wp:extent cx="360045" cy="43751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15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yaxınlıqda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8)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mane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girmə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qeyri</w:t>
      </w:r>
      <w:proofErr w:type="spellEnd"/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9)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nizamlama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tutulmamışdırsa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səkilərdə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lastRenderedPageBreak/>
        <w:t>10)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3.27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0171CB2" wp14:editId="11B48EFD">
            <wp:extent cx="408305" cy="408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6DE4DD6" wp14:editId="295CEEA4">
            <wp:extent cx="574040" cy="301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zonalarında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11)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avtomagistrallarda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4BBB739" wp14:editId="5070BD01">
            <wp:extent cx="398780" cy="55435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5.15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00FAB27" wp14:editId="4425BE33">
            <wp:extent cx="349885" cy="49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6.11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6FE8BDB" wp14:editId="1E484EE4">
            <wp:extent cx="330835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FA326D">
        <w:rPr>
          <w:rFonts w:ascii="Tahoma" w:hAnsi="Tahoma" w:cs="Tahoma"/>
          <w:b/>
          <w:i/>
          <w:color w:val="0070C0"/>
          <w:lang w:val="en-US"/>
        </w:rPr>
        <w:t>IV-I.</w:t>
      </w:r>
      <w:proofErr w:type="gramEnd"/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düşürtmək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5.12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A0784D2" wp14:editId="7D7F3A49">
            <wp:extent cx="408305" cy="49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5.13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4EC0619" wp14:editId="3DB29F0F">
            <wp:extent cx="398780" cy="48641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Taksilərin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5.14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88CE236" wp14:editId="1FCEEA57">
            <wp:extent cx="379095" cy="4667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sifariş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i/>
          <w:color w:val="0070C0"/>
          <w:lang w:val="en-US"/>
        </w:rPr>
        <w:t>V.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mühərriki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söndürməli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duracaq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tormoz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sistemini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təkərləri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qırağındakı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çevirməli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qapıları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kilidləməlidir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İcazə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3</w:t>
      </w:r>
      <w:proofErr w:type="gramStart"/>
      <w:r>
        <w:rPr>
          <w:rFonts w:ascii="Tahoma" w:hAnsi="Tahoma" w:cs="Tahoma"/>
          <w:color w:val="3C3C3C"/>
          <w:lang w:val="en-US"/>
        </w:rPr>
        <w:t>,5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yoxuşda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enişdə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öz-özünə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təkərlərdən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tıxac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i/>
          <w:color w:val="0070C0"/>
          <w:lang w:val="en-US"/>
        </w:rPr>
        <w:t>VI.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1)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dayanmanın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2)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3)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5.1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B948E28" wp14:editId="7D1E5F02">
            <wp:extent cx="321310" cy="437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4)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yaxınlıqda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color w:val="0070C0"/>
          <w:lang w:val="en-US"/>
        </w:rPr>
        <w:t>5)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girişin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darvaza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FA326D">
        <w:rPr>
          <w:rFonts w:ascii="Tahoma" w:hAnsi="Tahoma" w:cs="Tahoma"/>
          <w:b/>
          <w:color w:val="0070C0"/>
          <w:lang w:val="en-US"/>
        </w:rPr>
        <w:t>6)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bookmarkEnd w:id="0"/>
      <w:r>
        <w:rPr>
          <w:rFonts w:ascii="Tahoma" w:hAnsi="Tahoma" w:cs="Tahoma"/>
          <w:color w:val="3C3C3C"/>
          <w:lang w:val="en-US"/>
        </w:rPr>
        <w:t xml:space="preserve">3.28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F7DBE69" wp14:editId="05FE8DC0">
            <wp:extent cx="379095" cy="3790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190BCCB" wp14:editId="78A77A81">
            <wp:extent cx="583565" cy="311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zonalarında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i/>
          <w:color w:val="0070C0"/>
          <w:lang w:val="en-US"/>
        </w:rPr>
        <w:t>VII.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i/>
          <w:color w:val="0070C0"/>
          <w:lang w:val="en-US"/>
        </w:rPr>
        <w:t>VIII.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qapılarının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yaradarsa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326D" w:rsidRDefault="00FA326D" w:rsidP="00FA326D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326D">
        <w:rPr>
          <w:rFonts w:ascii="Tahoma" w:hAnsi="Tahoma" w:cs="Tahoma"/>
          <w:b/>
          <w:i/>
          <w:color w:val="0070C0"/>
          <w:lang w:val="en-US"/>
        </w:rPr>
        <w:t>IX.</w:t>
      </w:r>
      <w:r w:rsidRPr="00FA326D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öz-özünə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gördükdən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FA326D" w:rsidRDefault="00BF4C5B">
      <w:pPr>
        <w:rPr>
          <w:lang w:val="en-US"/>
        </w:rPr>
      </w:pPr>
    </w:p>
    <w:sectPr w:rsidR="00BF4C5B" w:rsidRPr="00FA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6D"/>
    <w:rsid w:val="00BF4C5B"/>
    <w:rsid w:val="00FA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6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6D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6D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6D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2014-06-24T19:27:00Z</dcterms:created>
  <dcterms:modified xsi:type="dcterms:W3CDTF">2014-06-24T19:28:00Z</dcterms:modified>
</cp:coreProperties>
</file>