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E15" w:rsidRPr="00716E15" w:rsidRDefault="00716E15" w:rsidP="00716E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0070C0"/>
          <w:sz w:val="28"/>
          <w:szCs w:val="28"/>
          <w:lang w:val="en-US"/>
        </w:rPr>
      </w:pPr>
      <w:proofErr w:type="spellStart"/>
      <w:proofErr w:type="gramStart"/>
      <w:r w:rsidRPr="00716E15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716E1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57.</w:t>
      </w:r>
      <w:proofErr w:type="gramEnd"/>
      <w:r w:rsidRPr="00716E1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716E15">
        <w:rPr>
          <w:rFonts w:ascii="Tahoma" w:hAnsi="Tahoma" w:cs="Tahoma"/>
          <w:b/>
          <w:color w:val="0070C0"/>
          <w:sz w:val="28"/>
          <w:szCs w:val="28"/>
          <w:lang w:val="en-US"/>
        </w:rPr>
        <w:t>Yüklərin</w:t>
      </w:r>
      <w:proofErr w:type="spellEnd"/>
      <w:r w:rsidRPr="00716E1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716E15">
        <w:rPr>
          <w:rFonts w:ascii="Tahoma" w:hAnsi="Tahoma" w:cs="Tahoma"/>
          <w:b/>
          <w:color w:val="0070C0"/>
          <w:sz w:val="28"/>
          <w:szCs w:val="28"/>
          <w:lang w:val="en-US"/>
        </w:rPr>
        <w:t>daşınması</w:t>
      </w:r>
      <w:proofErr w:type="spellEnd"/>
      <w:r w:rsidRPr="00716E15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716E15" w:rsidRPr="00DB7F53" w:rsidRDefault="00716E15" w:rsidP="00716E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3C3C3C"/>
          <w:lang w:val="en-US"/>
        </w:rPr>
      </w:pPr>
    </w:p>
    <w:p w:rsidR="00716E15" w:rsidRDefault="00716E15" w:rsidP="00716E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16E15">
        <w:rPr>
          <w:rFonts w:ascii="Tahoma" w:hAnsi="Tahoma" w:cs="Tahoma"/>
          <w:b/>
          <w:i/>
          <w:color w:val="0070C0"/>
          <w:lang w:val="en-US"/>
        </w:rPr>
        <w:t>I.</w:t>
      </w:r>
      <w:r w:rsidRPr="00716E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kütləsi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oxlar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üzrə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paylanması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istehsalçı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müəssisənin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həmin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növü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etdiyi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kəmiyyətlərdən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716E15" w:rsidRDefault="00716E15" w:rsidP="00716E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16E15">
        <w:rPr>
          <w:rFonts w:ascii="Tahoma" w:hAnsi="Tahoma" w:cs="Tahoma"/>
          <w:b/>
          <w:i/>
          <w:color w:val="0070C0"/>
          <w:lang w:val="en-US"/>
        </w:rPr>
        <w:t>II.</w:t>
      </w:r>
      <w:r w:rsidRPr="00716E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düşməməsi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hərəkətə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mane </w:t>
      </w:r>
      <w:proofErr w:type="spellStart"/>
      <w:r>
        <w:rPr>
          <w:rFonts w:ascii="Tahoma" w:hAnsi="Tahoma" w:cs="Tahoma"/>
          <w:color w:val="3C3C3C"/>
          <w:lang w:val="en-US"/>
        </w:rPr>
        <w:t>olmaması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başlamazdan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əvvəl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yerləşdirilməsinə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bağlanmasına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nəzarət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etməlidir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716E15" w:rsidRPr="00716E15" w:rsidRDefault="00716E15" w:rsidP="00716E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i/>
          <w:color w:val="0070C0"/>
          <w:lang w:val="en-US"/>
        </w:rPr>
      </w:pPr>
      <w:r w:rsidRPr="00716E15">
        <w:rPr>
          <w:rFonts w:ascii="Tahoma" w:hAnsi="Tahoma" w:cs="Tahoma"/>
          <w:b/>
          <w:i/>
          <w:color w:val="0070C0"/>
          <w:lang w:val="en-US"/>
        </w:rPr>
        <w:t>III.</w:t>
      </w:r>
      <w:r w:rsidRPr="00716E15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716E15">
        <w:rPr>
          <w:rFonts w:ascii="Tahoma" w:hAnsi="Tahoma" w:cs="Tahoma"/>
          <w:i/>
          <w:color w:val="0070C0"/>
          <w:lang w:val="en-US"/>
        </w:rPr>
        <w:t>Yükün</w:t>
      </w:r>
      <w:proofErr w:type="spellEnd"/>
      <w:r w:rsidRPr="00716E15">
        <w:rPr>
          <w:rFonts w:ascii="Tahoma" w:hAnsi="Tahoma" w:cs="Tahoma"/>
          <w:i/>
          <w:color w:val="0070C0"/>
          <w:lang w:val="en-US"/>
        </w:rPr>
        <w:t xml:space="preserve"> </w:t>
      </w:r>
      <w:proofErr w:type="spellStart"/>
      <w:r w:rsidRPr="00716E15">
        <w:rPr>
          <w:rFonts w:ascii="Tahoma" w:hAnsi="Tahoma" w:cs="Tahoma"/>
          <w:i/>
          <w:color w:val="0070C0"/>
          <w:lang w:val="en-US"/>
        </w:rPr>
        <w:t>daşınmasına</w:t>
      </w:r>
      <w:proofErr w:type="spellEnd"/>
      <w:r w:rsidRPr="00716E15">
        <w:rPr>
          <w:rFonts w:ascii="Tahoma" w:hAnsi="Tahoma" w:cs="Tahoma"/>
          <w:i/>
          <w:color w:val="0070C0"/>
          <w:lang w:val="en-US"/>
        </w:rPr>
        <w:t>:</w:t>
      </w:r>
    </w:p>
    <w:p w:rsidR="00716E15" w:rsidRDefault="00716E15" w:rsidP="00716E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16E15">
        <w:rPr>
          <w:rFonts w:ascii="Tahoma" w:hAnsi="Tahoma" w:cs="Tahoma"/>
          <w:b/>
          <w:color w:val="0070C0"/>
          <w:lang w:val="en-US"/>
        </w:rPr>
        <w:t>1)</w:t>
      </w:r>
      <w:r w:rsidRPr="00716E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adamları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məruz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qoymaması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şəxsi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əmlaka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zərər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vurmaması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716E15" w:rsidRDefault="00716E15" w:rsidP="00716E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16E15">
        <w:rPr>
          <w:rFonts w:ascii="Tahoma" w:hAnsi="Tahoma" w:cs="Tahoma"/>
          <w:b/>
          <w:color w:val="0070C0"/>
          <w:lang w:val="en-US"/>
        </w:rPr>
        <w:t>2)</w:t>
      </w:r>
      <w:r w:rsidRPr="00716E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sürücünün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ətrafı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görməsini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məhdudlaşdırmaması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davamlılığını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pozmaması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çətinləşdirməməsi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716E15" w:rsidRDefault="00716E15" w:rsidP="00716E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16E15">
        <w:rPr>
          <w:rFonts w:ascii="Tahoma" w:hAnsi="Tahoma" w:cs="Tahoma"/>
          <w:b/>
          <w:color w:val="0070C0"/>
          <w:lang w:val="en-US"/>
        </w:rPr>
        <w:t>3)</w:t>
      </w:r>
      <w:r w:rsidRPr="00716E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yükün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sürünməməsi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düşməməsi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716E15" w:rsidRDefault="00716E15" w:rsidP="00716E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16E15">
        <w:rPr>
          <w:rFonts w:ascii="Tahoma" w:hAnsi="Tahoma" w:cs="Tahoma"/>
          <w:b/>
          <w:color w:val="0070C0"/>
          <w:lang w:val="en-US"/>
        </w:rPr>
        <w:t>4)</w:t>
      </w:r>
      <w:r w:rsidRPr="00716E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yükün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xarici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işıqqaytarıcıların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qeydiyyat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tanınma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üstünü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tutmaması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habelə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siqnalların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qəbul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mane </w:t>
      </w:r>
      <w:proofErr w:type="spellStart"/>
      <w:r>
        <w:rPr>
          <w:rFonts w:ascii="Tahoma" w:hAnsi="Tahoma" w:cs="Tahoma"/>
          <w:color w:val="3C3C3C"/>
          <w:lang w:val="en-US"/>
        </w:rPr>
        <w:t>olmaması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716E15" w:rsidRDefault="00716E15" w:rsidP="00716E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16E15">
        <w:rPr>
          <w:rFonts w:ascii="Tahoma" w:hAnsi="Tahoma" w:cs="Tahoma"/>
          <w:b/>
          <w:color w:val="0070C0"/>
          <w:lang w:val="en-US"/>
        </w:rPr>
        <w:t>5)</w:t>
      </w:r>
      <w:r w:rsidRPr="00716E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səs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salmaması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toz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qaldırmaması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yolu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ətraf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mühiti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çirkləndirməməsi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716E15" w:rsidRDefault="00716E15" w:rsidP="00716E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16E15">
        <w:rPr>
          <w:rFonts w:ascii="Tahoma" w:hAnsi="Tahoma" w:cs="Tahoma"/>
          <w:b/>
          <w:i/>
          <w:color w:val="0070C0"/>
          <w:lang w:val="en-US"/>
        </w:rPr>
        <w:t>IV.</w:t>
      </w:r>
      <w:r w:rsidRPr="00716E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vəziyyəti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yerləşdirilməsi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tələblərə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cavab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vermədikdə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sadalanan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pozulmasını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qaldırmaq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tədbirlər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görməli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dayandırmalıdır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716E15" w:rsidRDefault="00716E15" w:rsidP="00716E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16E15">
        <w:rPr>
          <w:rFonts w:ascii="Tahoma" w:hAnsi="Tahoma" w:cs="Tahoma"/>
          <w:b/>
          <w:i/>
          <w:color w:val="0070C0"/>
          <w:lang w:val="en-US"/>
        </w:rPr>
        <w:t>V.</w:t>
      </w:r>
      <w:r w:rsidRPr="00716E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arxa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qabaritindən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- </w:t>
      </w:r>
      <w:proofErr w:type="spellStart"/>
      <w:r>
        <w:rPr>
          <w:rFonts w:ascii="Tahoma" w:hAnsi="Tahoma" w:cs="Tahoma"/>
          <w:color w:val="3C3C3C"/>
          <w:lang w:val="en-US"/>
        </w:rPr>
        <w:t>qabarit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işığının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xarici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1 </w:t>
      </w:r>
      <w:proofErr w:type="spellStart"/>
      <w:r>
        <w:rPr>
          <w:rFonts w:ascii="Tahoma" w:hAnsi="Tahoma" w:cs="Tahoma"/>
          <w:color w:val="3C3C3C"/>
          <w:lang w:val="en-US"/>
        </w:rPr>
        <w:t>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çox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0</w:t>
      </w:r>
      <w:proofErr w:type="gramStart"/>
      <w:r>
        <w:rPr>
          <w:rFonts w:ascii="Tahoma" w:hAnsi="Tahoma" w:cs="Tahoma"/>
          <w:color w:val="3C3C3C"/>
          <w:lang w:val="en-US"/>
        </w:rPr>
        <w:t>,4</w:t>
      </w:r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çox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qırağa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«</w:t>
      </w:r>
      <w:proofErr w:type="spellStart"/>
      <w:r>
        <w:rPr>
          <w:rFonts w:ascii="Tahoma" w:hAnsi="Tahoma" w:cs="Tahoma"/>
          <w:color w:val="3C3C3C"/>
          <w:lang w:val="en-US"/>
        </w:rPr>
        <w:t>İri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qabaritli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» </w:t>
      </w:r>
      <w:r>
        <w:rPr>
          <w:rFonts w:ascii="Tahoma" w:hAnsi="Tahoma" w:cs="Tahoma"/>
          <w:noProof/>
          <w:color w:val="3C3C3C"/>
          <w:lang w:val="en-US" w:eastAsia="en-US"/>
        </w:rPr>
        <w:drawing>
          <wp:inline distT="0" distB="0" distL="0" distR="0" wp14:anchorId="3408B24D" wp14:editId="4CAD0BA3">
            <wp:extent cx="418465" cy="4184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4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tanınma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işarələnməlidir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sutkanın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qaranlıq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vaxtı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məhdud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görünmə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şəraitində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bundan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başqa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qabaq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fənəri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işıqqaytarıcı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arxa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tərəfdən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qırmızı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fənəri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işıqqaytarıcı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olunmalıdır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716E15" w:rsidRDefault="00716E15" w:rsidP="00716E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16E15">
        <w:rPr>
          <w:rFonts w:ascii="Tahoma" w:hAnsi="Tahoma" w:cs="Tahoma"/>
          <w:b/>
          <w:i/>
          <w:color w:val="0070C0"/>
          <w:lang w:val="en-US"/>
        </w:rPr>
        <w:t>VI.</w:t>
      </w:r>
      <w:r w:rsidRPr="00716E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Ağır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çəkili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yüklərin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zərərsizləşdirilməmiş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taranın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daşınması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yüklə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birlikdə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yüksüz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qabarit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parametrlərinin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eni</w:t>
      </w:r>
      <w:proofErr w:type="spellEnd"/>
      <w:r>
        <w:rPr>
          <w:rFonts w:ascii="Tahoma" w:hAnsi="Tahoma" w:cs="Tahoma"/>
          <w:color w:val="3C3C3C"/>
          <w:lang w:val="en-US"/>
        </w:rPr>
        <w:t xml:space="preserve"> 2,5 </w:t>
      </w:r>
      <w:proofErr w:type="spellStart"/>
      <w:r>
        <w:rPr>
          <w:rFonts w:ascii="Tahoma" w:hAnsi="Tahoma" w:cs="Tahoma"/>
          <w:color w:val="3C3C3C"/>
          <w:lang w:val="en-US"/>
        </w:rPr>
        <w:t>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hündürlüyü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səthindən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4 </w:t>
      </w:r>
      <w:proofErr w:type="spellStart"/>
      <w:r>
        <w:rPr>
          <w:rFonts w:ascii="Tahoma" w:hAnsi="Tahoma" w:cs="Tahoma"/>
          <w:color w:val="3C3C3C"/>
          <w:lang w:val="en-US"/>
        </w:rPr>
        <w:t>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uzunluğu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bir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qoşqulu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avtoqatar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20 </w:t>
      </w:r>
      <w:proofErr w:type="spellStart"/>
      <w:r>
        <w:rPr>
          <w:rFonts w:ascii="Tahoma" w:hAnsi="Tahoma" w:cs="Tahoma"/>
          <w:color w:val="3C3C3C"/>
          <w:lang w:val="en-US"/>
        </w:rPr>
        <w:t>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qoşqulu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avtoqatar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24 </w:t>
      </w:r>
      <w:proofErr w:type="spellStart"/>
      <w:r>
        <w:rPr>
          <w:rFonts w:ascii="Tahoma" w:hAnsi="Tahoma" w:cs="Tahoma"/>
          <w:color w:val="3C3C3C"/>
          <w:lang w:val="en-US"/>
        </w:rPr>
        <w:t>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artıq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yaxud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qabaritinin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arxa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nöqtəsindən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2 </w:t>
      </w:r>
      <w:proofErr w:type="spellStart"/>
      <w:r>
        <w:rPr>
          <w:rFonts w:ascii="Tahoma" w:hAnsi="Tahoma" w:cs="Tahoma"/>
          <w:color w:val="3C3C3C"/>
          <w:lang w:val="en-US"/>
        </w:rPr>
        <w:t>metrdən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çox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kənara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çıxan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daha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çox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qoşqulu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avtoqatarların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uyğun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həyata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keçirilir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716E15" w:rsidRDefault="00716E15" w:rsidP="00716E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16E15">
        <w:rPr>
          <w:rFonts w:ascii="Tahoma" w:hAnsi="Tahoma" w:cs="Tahoma"/>
          <w:b/>
          <w:i/>
          <w:color w:val="0070C0"/>
          <w:lang w:val="en-US"/>
        </w:rPr>
        <w:t>VII.</w:t>
      </w:r>
      <w:r w:rsidRPr="00716E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Taxıl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ot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yem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tökülən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daşınarkən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üstünə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örtük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çəkilməlidir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716E15" w:rsidRDefault="00716E15" w:rsidP="00716E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16E15">
        <w:rPr>
          <w:rFonts w:ascii="Tahoma" w:hAnsi="Tahoma" w:cs="Tahoma"/>
          <w:b/>
          <w:i/>
          <w:color w:val="0070C0"/>
          <w:lang w:val="en-US"/>
        </w:rPr>
        <w:t>VIII.</w:t>
      </w:r>
      <w:r w:rsidRPr="00716E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vasitəsindən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yolun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hərəkət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hissəsinə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düşən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maneə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yaratdıqda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onu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dərhal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aradan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götürmək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mümkün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sürücü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qəza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dayanma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yanıb-sönən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qırmızı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işıqlı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portativ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fənər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qoymalıdır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716E15" w:rsidRDefault="00716E15" w:rsidP="00716E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16E15">
        <w:rPr>
          <w:rFonts w:ascii="Tahoma" w:hAnsi="Tahoma" w:cs="Tahoma"/>
          <w:b/>
          <w:i/>
          <w:color w:val="0070C0"/>
          <w:lang w:val="en-US"/>
        </w:rPr>
        <w:t>IX.</w:t>
      </w:r>
      <w:r w:rsidRPr="00716E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Mikroavtobusların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avtobusların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minik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maşınlarının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sürücülərinə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716E15" w:rsidRDefault="00716E15" w:rsidP="00716E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16E15">
        <w:rPr>
          <w:rFonts w:ascii="Tahoma" w:hAnsi="Tahoma" w:cs="Tahoma"/>
          <w:b/>
          <w:color w:val="0070C0"/>
          <w:lang w:val="en-US"/>
        </w:rPr>
        <w:t>a)</w:t>
      </w:r>
      <w:r w:rsidRPr="00716E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damında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məqsəd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quraşdırılmadıqda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damında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daşımaq</w:t>
      </w:r>
      <w:proofErr w:type="spellEnd"/>
      <w:r>
        <w:rPr>
          <w:rFonts w:ascii="Tahoma" w:hAnsi="Tahoma" w:cs="Tahoma"/>
          <w:color w:val="3C3C3C"/>
          <w:lang w:val="en-US"/>
        </w:rPr>
        <w:t>;</w:t>
      </w:r>
    </w:p>
    <w:p w:rsidR="00716E15" w:rsidRDefault="00716E15" w:rsidP="00716E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716E15">
        <w:rPr>
          <w:rFonts w:ascii="Tahoma" w:hAnsi="Tahoma" w:cs="Tahoma"/>
          <w:b/>
          <w:color w:val="0070C0"/>
          <w:lang w:val="en-US"/>
        </w:rPr>
        <w:t>b)</w:t>
      </w:r>
      <w:r w:rsidRPr="00716E15">
        <w:rPr>
          <w:rFonts w:ascii="Tahoma" w:hAnsi="Tahoma" w:cs="Tahoma"/>
          <w:color w:val="0070C0"/>
          <w:lang w:val="en-US"/>
        </w:rPr>
        <w:t xml:space="preserve"> </w:t>
      </w:r>
      <w:bookmarkEnd w:id="0"/>
      <w:proofErr w:type="spellStart"/>
      <w:proofErr w:type="gramStart"/>
      <w:r>
        <w:rPr>
          <w:rFonts w:ascii="Tahoma" w:hAnsi="Tahoma" w:cs="Tahoma"/>
          <w:color w:val="3C3C3C"/>
          <w:lang w:val="en-US"/>
        </w:rPr>
        <w:t>yük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yerinin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qarşısını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açıq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qoymaqla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iri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həcmli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çox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uzun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əşyalar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daşımaq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qadağandır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716E15" w:rsidRDefault="00716E15" w:rsidP="00716E15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716E15">
        <w:rPr>
          <w:rFonts w:ascii="Tahoma" w:hAnsi="Tahoma" w:cs="Tahoma"/>
          <w:b/>
          <w:i/>
          <w:color w:val="0070C0"/>
          <w:lang w:val="en-US"/>
        </w:rPr>
        <w:t>X.</w:t>
      </w:r>
      <w:r w:rsidRPr="00716E15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Tezalışan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partlayış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qorxusu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radioaktiv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güclü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zəhərləyici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maddələr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digər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təhlükəli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yüklər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yalnız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fərqləndirmə-tanınma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nişanları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təchiz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xüsusi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qaydalarda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müəyyən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edilmiş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şərtlərlə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daşınır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BF4C5B" w:rsidRPr="00716E15" w:rsidRDefault="00BF4C5B">
      <w:pPr>
        <w:rPr>
          <w:lang w:val="en-US"/>
        </w:rPr>
      </w:pPr>
    </w:p>
    <w:sectPr w:rsidR="00BF4C5B" w:rsidRPr="00716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E15"/>
    <w:rsid w:val="00716E15"/>
    <w:rsid w:val="00BF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E15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E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E15"/>
    <w:rPr>
      <w:rFonts w:ascii="Tahoma" w:eastAsia="MS Mincho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E15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E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E15"/>
    <w:rPr>
      <w:rFonts w:ascii="Tahoma" w:eastAsia="MS Mincho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1</cp:revision>
  <dcterms:created xsi:type="dcterms:W3CDTF">2014-06-24T19:33:00Z</dcterms:created>
  <dcterms:modified xsi:type="dcterms:W3CDTF">2014-06-24T19:34:00Z</dcterms:modified>
</cp:coreProperties>
</file>