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C0" w:rsidRPr="007C7DC0" w:rsidRDefault="007C7DC0" w:rsidP="007C7DC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7C7DC0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7C7DC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65.</w:t>
      </w:r>
      <w:proofErr w:type="gramEnd"/>
      <w:r w:rsidRPr="007C7DC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C7DC0">
        <w:rPr>
          <w:rFonts w:ascii="Tahoma" w:hAnsi="Tahoma" w:cs="Tahoma"/>
          <w:b/>
          <w:color w:val="0070C0"/>
          <w:sz w:val="28"/>
          <w:szCs w:val="28"/>
          <w:lang w:val="en-US"/>
        </w:rPr>
        <w:t>Məcburi</w:t>
      </w:r>
      <w:proofErr w:type="spellEnd"/>
      <w:r w:rsidRPr="007C7DC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C7DC0">
        <w:rPr>
          <w:rFonts w:ascii="Tahoma" w:hAnsi="Tahoma" w:cs="Tahoma"/>
          <w:b/>
          <w:color w:val="0070C0"/>
          <w:sz w:val="28"/>
          <w:szCs w:val="28"/>
          <w:lang w:val="en-US"/>
        </w:rPr>
        <w:t>hərəkət</w:t>
      </w:r>
      <w:proofErr w:type="spellEnd"/>
      <w:r w:rsidRPr="007C7DC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C7DC0">
        <w:rPr>
          <w:rFonts w:ascii="Tahoma" w:hAnsi="Tahoma" w:cs="Tahoma"/>
          <w:b/>
          <w:color w:val="0070C0"/>
          <w:sz w:val="28"/>
          <w:szCs w:val="28"/>
          <w:lang w:val="en-US"/>
        </w:rPr>
        <w:t>istiqaməti</w:t>
      </w:r>
      <w:proofErr w:type="spellEnd"/>
      <w:r w:rsidRPr="007C7DC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C7DC0">
        <w:rPr>
          <w:rFonts w:ascii="Tahoma" w:hAnsi="Tahoma" w:cs="Tahoma"/>
          <w:b/>
          <w:color w:val="0070C0"/>
          <w:sz w:val="28"/>
          <w:szCs w:val="28"/>
          <w:lang w:val="en-US"/>
        </w:rPr>
        <w:t>nişanları</w:t>
      </w:r>
      <w:proofErr w:type="spellEnd"/>
      <w:r w:rsidRPr="007C7DC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7C7DC0" w:rsidRPr="007C7DC0" w:rsidRDefault="007C7DC0" w:rsidP="007C7DC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70C0"/>
          <w:sz w:val="28"/>
          <w:szCs w:val="28"/>
          <w:lang w:val="en-US"/>
        </w:rPr>
      </w:pPr>
    </w:p>
    <w:p w:rsidR="007C7DC0" w:rsidRDefault="007C7DC0" w:rsidP="007C7DC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C7DC0">
        <w:rPr>
          <w:rFonts w:ascii="Tahoma" w:hAnsi="Tahoma" w:cs="Tahoma"/>
          <w:b/>
          <w:i/>
          <w:color w:val="0070C0"/>
          <w:lang w:val="en-US"/>
        </w:rPr>
        <w:t>I.</w:t>
      </w:r>
      <w:r w:rsidRPr="007C7DC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eləcə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C7DC0" w:rsidRDefault="007C7DC0" w:rsidP="007C7DC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C7DC0">
        <w:rPr>
          <w:rFonts w:ascii="Tahoma" w:hAnsi="Tahoma" w:cs="Tahoma"/>
          <w:b/>
          <w:i/>
          <w:color w:val="0070C0"/>
          <w:lang w:val="en-US"/>
        </w:rPr>
        <w:t>II.</w:t>
      </w:r>
      <w:r w:rsidRPr="007C7DC0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nişanların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C7DC0" w:rsidRDefault="007C7DC0" w:rsidP="007C7DC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C7DC0">
        <w:rPr>
          <w:rFonts w:ascii="Tahoma" w:hAnsi="Tahoma" w:cs="Tahoma"/>
          <w:b/>
          <w:i/>
          <w:color w:val="0070C0"/>
          <w:lang w:val="en-US"/>
        </w:rPr>
        <w:t>III.</w:t>
      </w:r>
      <w:r w:rsidRPr="007C7DC0">
        <w:rPr>
          <w:rFonts w:ascii="Tahoma" w:hAnsi="Tahoma" w:cs="Tahoma"/>
          <w:color w:val="0070C0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4.1.1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A27E0FA" wp14:editId="66EEE016">
            <wp:extent cx="466725" cy="46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4.1.2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517A333" wp14:editId="26DCDB5B">
            <wp:extent cx="476885" cy="476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4.1.3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1D80768" wp14:editId="57A0CFFC">
            <wp:extent cx="476885" cy="476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4.1.4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F57E106" wp14:editId="796071ED">
            <wp:extent cx="495935" cy="495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4.1.5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3FF8DA2" wp14:editId="7DE92F21">
            <wp:extent cx="486410" cy="48641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4.1.6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5C1F66D" wp14:editId="2D17B41A">
            <wp:extent cx="45720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oxlarla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Sola </w:t>
      </w:r>
      <w:proofErr w:type="spellStart"/>
      <w:r>
        <w:rPr>
          <w:rFonts w:ascii="Tahoma" w:hAnsi="Tahoma" w:cs="Tahoma"/>
          <w:color w:val="3C3C3C"/>
          <w:lang w:val="en-US"/>
        </w:rPr>
        <w:t>dönməyə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</w:p>
    <w:p w:rsidR="007C7DC0" w:rsidRDefault="007C7DC0" w:rsidP="007C7DC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C7DC0">
        <w:rPr>
          <w:rFonts w:ascii="Tahoma" w:hAnsi="Tahoma" w:cs="Tahoma"/>
          <w:b/>
          <w:i/>
          <w:color w:val="0070C0"/>
          <w:lang w:val="en-US"/>
        </w:rPr>
        <w:t>IV.</w:t>
      </w:r>
      <w:r w:rsidRPr="007C7DC0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4.1.1-4.1.6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7EB5F4F" wp14:editId="7BB43B54">
            <wp:extent cx="4667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C54F95B" wp14:editId="72EEEB00">
            <wp:extent cx="476885" cy="47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2BA6220" wp14:editId="53533AAB">
            <wp:extent cx="476885" cy="47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AFE922E" wp14:editId="533AC34E">
            <wp:extent cx="495935" cy="49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06363F3" wp14:editId="4FFE283C">
            <wp:extent cx="486410" cy="4864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nişan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şamil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C7DC0" w:rsidRDefault="007C7DC0" w:rsidP="007C7DC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7C7DC0">
        <w:rPr>
          <w:rFonts w:ascii="Tahoma" w:hAnsi="Tahoma" w:cs="Tahoma"/>
          <w:b/>
          <w:i/>
          <w:color w:val="0070C0"/>
          <w:lang w:val="en-US"/>
        </w:rPr>
        <w:t>V.</w:t>
      </w:r>
      <w:r w:rsidRPr="007C7DC0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başlanğıcında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4.1.1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4667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Bu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nişan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həyətlərə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bitişik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4.4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506095" cy="5060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avtobusların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motosikletlərin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maksimum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3</w:t>
      </w:r>
      <w:proofErr w:type="gramStart"/>
      <w:r>
        <w:rPr>
          <w:rFonts w:ascii="Tahoma" w:hAnsi="Tahoma" w:cs="Tahoma"/>
          <w:color w:val="3C3C3C"/>
          <w:lang w:val="en-US"/>
        </w:rPr>
        <w:t>,5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Bu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nişan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vətəndaşlara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məxsus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təyinat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girib-çıxmalıdırlır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F4C5B" w:rsidRPr="007C7DC0" w:rsidRDefault="00BF4C5B">
      <w:pPr>
        <w:rPr>
          <w:lang w:val="en-US"/>
        </w:rPr>
      </w:pPr>
    </w:p>
    <w:sectPr w:rsidR="00BF4C5B" w:rsidRPr="007C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C0"/>
    <w:rsid w:val="007C7DC0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DC0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C0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DC0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C0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2014-06-24T19:47:00Z</dcterms:created>
  <dcterms:modified xsi:type="dcterms:W3CDTF">2014-06-24T19:47:00Z</dcterms:modified>
</cp:coreProperties>
</file>