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center"/>
        <w:rPr>
          <w:sz w:val="50"/>
          <w:szCs w:val="50"/>
        </w:rPr>
      </w:pPr>
      <w:r w:rsidDel="00000000" w:rsidR="00000000" w:rsidRPr="00000000">
        <w:rPr>
          <w:sz w:val="52"/>
          <w:szCs w:val="52"/>
          <w:rtl w:val="0"/>
        </w:rPr>
        <w:t xml:space="preserve">    </w:t>
      </w:r>
      <w:r w:rsidDel="00000000" w:rsidR="00000000" w:rsidRPr="00000000">
        <w:rPr>
          <w:sz w:val="50"/>
          <w:szCs w:val="50"/>
          <w:rtl w:val="0"/>
        </w:rPr>
        <w:t xml:space="preserve">Purple Coneflower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-133349</wp:posOffset>
            </wp:positionH>
            <wp:positionV relativeFrom="paragraph">
              <wp:posOffset>133350</wp:posOffset>
            </wp:positionV>
            <wp:extent cx="2743200" cy="3357563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3575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center"/>
        <w:rPr>
          <w:i w:val="1"/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  </w:t>
      </w:r>
      <w:r w:rsidDel="00000000" w:rsidR="00000000" w:rsidRPr="00000000">
        <w:rPr>
          <w:i w:val="1"/>
          <w:sz w:val="50"/>
          <w:szCs w:val="50"/>
          <w:rtl w:val="0"/>
        </w:rPr>
        <w:t xml:space="preserve">Echinacea purpurea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center"/>
        <w:rPr>
          <w:i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720"/>
        <w:jc w:val="center"/>
        <w:rPr>
          <w:sz w:val="40"/>
          <w:szCs w:val="40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40"/>
          <w:szCs w:val="40"/>
          <w:rtl w:val="0"/>
        </w:rPr>
        <w:t xml:space="preserve"> *Sun to part-shade 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720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*2ft-4ft tall  *Drought    tolerant once established *Deer/Rabbit resistant        *Potent medicinal *Feeds pollinators and songbirds</w:t>
      </w:r>
    </w:p>
    <w:sectPr>
      <w:pgSz w:h="7920" w:w="12240" w:orient="landscape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