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i w:val="1"/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   </w:t>
      </w:r>
      <w:r w:rsidDel="00000000" w:rsidR="00000000" w:rsidRPr="00000000">
        <w:rPr>
          <w:sz w:val="56"/>
          <w:szCs w:val="56"/>
          <w:rtl w:val="0"/>
        </w:rPr>
        <w:t xml:space="preserve"> Sochan/ Cutleaf Coneflower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05075" cy="268128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681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i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jc w:val="center"/>
        <w:rPr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* Full sun to part shade *thrives in wet environments *delicious edible *supports a wide variety of insects *tall perennial *deer resistant</w:t>
      </w:r>
      <w:r w:rsidDel="00000000" w:rsidR="00000000" w:rsidRPr="00000000">
        <w:rPr>
          <w:sz w:val="34"/>
          <w:szCs w:val="34"/>
          <w:rtl w:val="0"/>
        </w:rPr>
        <w:t xml:space="preserve">   </w:t>
      </w:r>
      <w:r w:rsidDel="00000000" w:rsidR="00000000" w:rsidRPr="00000000">
        <w:rPr>
          <w:rtl w:val="0"/>
        </w:rPr>
      </w:r>
    </w:p>
    <w:sectPr>
      <w:headerReference r:id="rId7" w:type="default"/>
      <w:pgSz w:h="7920" w:w="122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