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 // Z. Medunytsia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accessed the system after normal business hours (e.g., at 11:47 PM).</w:t>
              <w:br w:type="textWrapping"/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used (e.g.,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188038"/>
                <w:rtl w:val="0"/>
              </w:rPr>
              <w:t xml:space="preserve">192.168.1.24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) does not match the user’s known office IP range, suggesting remote or unauthorized access.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account involved in the incident belonged to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former employee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who should have been deactivated but remained active.</w:t>
              <w:br w:type="textWrapping"/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access level for this user account included administrative privileges, which were not revoked upon termination.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Implement automated offboarding procedures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: Ensure that user accounts are disabled immediately when an employee departs the organization to prevent unauthorized access by former staff.</w:t>
              <w:br w:type="textWrapping"/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Enforce least privilege principle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: Regularly audit employee access levels and ensure that users only have permissions necessary for their job functions. Remove administrative rights unless strictly required.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