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pPr>
      <w:r w:rsidDel="00000000" w:rsidR="00000000" w:rsidRPr="00000000">
        <w:rPr>
          <w:rtl w:val="0"/>
        </w:rPr>
      </w:r>
    </w:p>
    <w:p w:rsidR="00000000" w:rsidDel="00000000" w:rsidP="00000000" w:rsidRDefault="00000000" w:rsidRPr="00000000" w14:paraId="00000054">
      <w:pPr>
        <w:ind w:left="-360" w:right="-360" w:firstLine="0"/>
        <w:jc w:val="center"/>
        <w:rPr/>
      </w:pPr>
      <w:r w:rsidDel="00000000" w:rsidR="00000000" w:rsidRPr="00000000">
        <w:rPr>
          <w:rtl w:val="0"/>
        </w:rPr>
      </w:r>
    </w:p>
    <w:p w:rsidR="00000000" w:rsidDel="00000000" w:rsidP="00000000" w:rsidRDefault="00000000" w:rsidRPr="00000000" w14:paraId="00000055">
      <w:pPr>
        <w:ind w:left="-360" w:right="-360" w:firstLine="0"/>
        <w:jc w:val="center"/>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jc w:val="center"/>
        <w:rPr>
          <w:b w:val="1"/>
          <w:color w:val="000000"/>
          <w:sz w:val="26"/>
          <w:szCs w:val="26"/>
        </w:rPr>
      </w:pPr>
      <w:bookmarkStart w:colFirst="0" w:colLast="0" w:name="_uh49ux8zuruv" w:id="3"/>
      <w:bookmarkEnd w:id="3"/>
      <w:r w:rsidDel="00000000" w:rsidR="00000000" w:rsidRPr="00000000">
        <w:rPr>
          <w:b w:val="1"/>
          <w:color w:val="000000"/>
          <w:sz w:val="26"/>
          <w:szCs w:val="26"/>
          <w:rtl w:val="0"/>
        </w:rPr>
        <w:t xml:space="preserve">(Risk Factor Summary)</w:t>
      </w:r>
    </w:p>
    <w:p w:rsidR="00000000" w:rsidDel="00000000" w:rsidP="00000000" w:rsidRDefault="00000000" w:rsidRPr="00000000" w14:paraId="00000057">
      <w:pPr>
        <w:spacing w:after="240" w:before="240" w:lineRule="auto"/>
        <w:ind w:left="0" w:right="0" w:firstLine="0"/>
        <w:jc w:val="center"/>
        <w:rPr/>
      </w:pPr>
      <w:r w:rsidDel="00000000" w:rsidR="00000000" w:rsidRPr="00000000">
        <w:rPr>
          <w:rtl w:val="0"/>
        </w:rPr>
        <w:t xml:space="preserve">Although the bank is in a low-crime coastal area, risks to its funds remain high due to internal and external cyber threats. The presence of remote workers, marketing exposure, and customer data handling heighten the chances of database breaches and phishing attacks. Additionally, environmental hazards like hurricanes can delay supply chain operations, affecting cash availability and compliance with Federal Reserve mandates.</w:t>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