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B4965"/>
          <w:sz w:val="44"/>
        </w:rPr>
        <w:t>BIEN ECONÓMICO: EL LITIO (Li)</w:t>
      </w:r>
    </w:p>
    <w:p>
      <w:pPr>
        <w:spacing w:after="480"/>
        <w:jc w:val="center"/>
      </w:pPr>
      <w:r>
        <w:rPr>
          <w:rFonts w:ascii="Calibri" w:hAnsi="Calibri"/>
          <w:i/>
          <w:color w:val="5A727E"/>
          <w:sz w:val="24"/>
        </w:rPr>
        <w:t>Análisis de Mercado Nacional e Internacional | Economía</w:t>
      </w:r>
    </w:p>
    <w:p>
      <w:pPr>
        <w:keepNext/>
        <w:spacing w:before="280" w:after="120"/>
      </w:pPr>
      <w:r>
        <w:rPr>
          <w:rFonts w:ascii="Calibri" w:hAnsi="Calibri"/>
          <w:b/>
          <w:color w:val="1B4965"/>
          <w:sz w:val="26"/>
        </w:rPr>
        <w:t>1. Elección del Bien Económico</w:t>
      </w:r>
    </w:p>
    <w:p>
      <w:pPr>
        <w:spacing w:before="0" w:after="120" w:line="276" w:lineRule="auto"/>
      </w:pPr>
      <w:r>
        <w:t>El bien económico seleccionado es el Litio (Li), clasificado dentro de los recursos naturales extractivos y minerales críticos para la transición energética.</w:t>
      </w:r>
    </w:p>
    <w:p>
      <w:pPr>
        <w:keepNext/>
        <w:spacing w:before="280" w:after="120"/>
      </w:pPr>
      <w:r>
        <w:rPr>
          <w:rFonts w:ascii="Calibri" w:hAnsi="Calibri"/>
          <w:b/>
          <w:color w:val="1B4965"/>
          <w:sz w:val="26"/>
        </w:rPr>
        <w:t>2. Breve Definición del Bien</w:t>
      </w:r>
    </w:p>
    <w:p>
      <w:pPr>
        <w:spacing w:before="0" w:after="120" w:line="276" w:lineRule="auto"/>
      </w:pPr>
      <w:r>
        <w:t>El litio es un metal alcalino blando, blanco plateado, caracterizado por ser el elemento sólido más ligero y poseer un alto potencial electroquímico. Sus aplicaciones tradicionales incluyen la industria del vidrio, cerámica y grasas lubricantes, pero en la actualidad su demanda está impulsada principalmente por la fabricación de baterías de ion-litio para vehículos eléctricos, dispositivos electrónicos y almacenamiento de energías renovables.</w:t>
      </w:r>
    </w:p>
    <w:p>
      <w:pPr>
        <w:keepNext/>
        <w:spacing w:before="280" w:after="120"/>
      </w:pPr>
      <w:r>
        <w:rPr>
          <w:rFonts w:ascii="Calibri" w:hAnsi="Calibri"/>
          <w:b/>
          <w:color w:val="1B4965"/>
          <w:sz w:val="26"/>
        </w:rPr>
        <w:t>3. Proceso de Obtención y Elaboración</w:t>
      </w:r>
    </w:p>
    <w:p>
      <w:pPr>
        <w:pStyle w:val="ListBullet"/>
        <w:spacing w:before="0" w:after="80" w:line="276" w:lineRule="auto"/>
      </w:pPr>
      <w:r>
        <w:rPr>
          <w:b/>
          <w:color w:val="1B4965"/>
        </w:rPr>
        <w:t xml:space="preserve">Extracción: </w:t>
      </w:r>
      <w:r>
        <w:t>Bombeo de salmuera desde los salares subterráneos hacia piletas de evaporación solar (o mediante tecnologías de extracción directa de litio - EDL).</w:t>
      </w:r>
    </w:p>
    <w:p>
      <w:pPr>
        <w:pStyle w:val="ListBullet"/>
        <w:spacing w:before="0" w:after="80" w:line="276" w:lineRule="auto"/>
      </w:pPr>
      <w:r>
        <w:rPr>
          <w:b/>
          <w:color w:val="1B4965"/>
        </w:rPr>
        <w:t xml:space="preserve">Concentración y Purificación: </w:t>
      </w:r>
      <w:r>
        <w:t>Evaporación paulatina del agua y remoción de impurezas (magnesio, calcio, boro) mediante precipitación química.</w:t>
      </w:r>
    </w:p>
    <w:p>
      <w:pPr>
        <w:pStyle w:val="ListBullet"/>
        <w:spacing w:before="0" w:after="80" w:line="276" w:lineRule="auto"/>
      </w:pPr>
      <w:r>
        <w:rPr>
          <w:b/>
          <w:color w:val="1B4965"/>
        </w:rPr>
        <w:t xml:space="preserve">Procesamiento y Refino: </w:t>
      </w:r>
      <w:r>
        <w:t>Tratamiento químico de la salmuera concentrada para obtener carbonato de litio (Li₂CO₃) u hidróxido de litio (LiOH) de grado batería (pureza ≥ 99,5%).</w:t>
      </w:r>
    </w:p>
    <w:p>
      <w:pPr>
        <w:keepNext/>
        <w:spacing w:before="280" w:after="120"/>
      </w:pPr>
      <w:r>
        <w:rPr>
          <w:rFonts w:ascii="Calibri" w:hAnsi="Calibri"/>
          <w:b/>
          <w:color w:val="1B4965"/>
          <w:sz w:val="26"/>
        </w:rPr>
        <w:t>4. Ubicación Geográfica en Argentina</w:t>
      </w:r>
    </w:p>
    <w:p>
      <w:pPr>
        <w:spacing w:before="0" w:after="120" w:line="276" w:lineRule="auto"/>
      </w:pPr>
      <w:r>
        <w:t>Se concentra en la región de la Puna (integrando el denominado "Triángulo del Litio" junto a Chile y Bolivia), principalmente en:</w:t>
      </w:r>
    </w:p>
    <w:p>
      <w:pPr>
        <w:pStyle w:val="ListBullet"/>
        <w:spacing w:before="0" w:after="80" w:line="276" w:lineRule="auto"/>
      </w:pPr>
      <w:r>
        <w:rPr>
          <w:b/>
          <w:color w:val="1B4965"/>
        </w:rPr>
        <w:t xml:space="preserve">Jujuy: </w:t>
      </w:r>
      <w:r>
        <w:t>Salar de Olaroz y Salar de Cauchari.</w:t>
      </w:r>
    </w:p>
    <w:p>
      <w:pPr>
        <w:pStyle w:val="ListBullet"/>
        <w:spacing w:before="0" w:after="80" w:line="276" w:lineRule="auto"/>
      </w:pPr>
      <w:r>
        <w:rPr>
          <w:b/>
          <w:color w:val="1B4965"/>
        </w:rPr>
        <w:t xml:space="preserve">Salta: </w:t>
      </w:r>
      <w:r>
        <w:t>Salar del Hombre Muerto, Salar de Pastos Grandes y Salar de Rincón.</w:t>
      </w:r>
    </w:p>
    <w:p>
      <w:pPr>
        <w:pStyle w:val="ListBullet"/>
        <w:spacing w:before="0" w:after="80" w:line="276" w:lineRule="auto"/>
      </w:pPr>
      <w:r>
        <w:rPr>
          <w:b/>
          <w:color w:val="1B4965"/>
        </w:rPr>
        <w:t xml:space="preserve">Catamarca: </w:t>
      </w:r>
      <w:r>
        <w:t>Salar del Hombre Muerto y Salar de Antofalla.</w:t>
      </w:r>
    </w:p>
    <w:p>
      <w:pPr>
        <w:keepNext/>
        <w:spacing w:before="280" w:after="120"/>
      </w:pPr>
      <w:r>
        <w:rPr>
          <w:rFonts w:ascii="Calibri" w:hAnsi="Calibri"/>
          <w:b/>
          <w:color w:val="1B4965"/>
          <w:sz w:val="26"/>
        </w:rPr>
        <w:t>5. Análisis del Mercado Nacional</w:t>
      </w:r>
    </w:p>
    <w:p>
      <w:pPr>
        <w:pStyle w:val="ListBullet"/>
        <w:spacing w:before="0" w:after="80" w:line="276" w:lineRule="auto"/>
      </w:pPr>
      <w:r>
        <w:rPr>
          <w:b/>
          <w:color w:val="1B4965"/>
        </w:rPr>
        <w:t xml:space="preserve">Producción en los últimos 10 años: </w:t>
      </w:r>
      <w:r>
        <w:t>Crecimiento sostenido impulsado por la entrada en operación de nuevos proyectos; la producción pasó de aproximadamente 25.000 toneladas de LCE (Litio Carbonato Equivalente) a superar las 130.000 toneladas anuales en los últimos años.</w:t>
      </w:r>
    </w:p>
    <w:p>
      <w:pPr>
        <w:pStyle w:val="ListBullet"/>
        <w:spacing w:before="0" w:after="80" w:line="276" w:lineRule="auto"/>
      </w:pPr>
      <w:r>
        <w:rPr>
          <w:b/>
          <w:color w:val="1B4965"/>
        </w:rPr>
        <w:t xml:space="preserve">Aporte al PBI: </w:t>
      </w:r>
      <w:r>
        <w:t>Representa uno de los principales motores del sector minero exportador junto con el oro y la plata, aportando significativamente a las economías regionales del NOA.</w:t>
      </w:r>
    </w:p>
    <w:p>
      <w:pPr>
        <w:keepNext/>
        <w:spacing w:before="280" w:after="120"/>
      </w:pPr>
      <w:r>
        <w:rPr>
          <w:rFonts w:ascii="Calibri" w:hAnsi="Calibri"/>
          <w:b/>
          <w:color w:val="1B4965"/>
          <w:sz w:val="26"/>
        </w:rPr>
        <w:t>6. Análisis del Mercado Internacional</w:t>
      </w:r>
    </w:p>
    <w:p>
      <w:pPr>
        <w:pStyle w:val="ListBullet"/>
        <w:spacing w:before="0" w:after="80" w:line="276" w:lineRule="auto"/>
      </w:pPr>
      <w:r>
        <w:rPr>
          <w:b/>
          <w:color w:val="1B4965"/>
        </w:rPr>
        <w:t xml:space="preserve">Producción Mundial: </w:t>
      </w:r>
      <w:r>
        <w:t>La producción global supera las 180.000 toneladas de litio puro (liderada por Australia mediante minería de roca dura, seguida por Chile y Argentina en salmueras).</w:t>
      </w:r>
    </w:p>
    <w:p>
      <w:pPr>
        <w:pStyle w:val="ListBullet"/>
        <w:spacing w:before="0" w:after="80" w:line="276" w:lineRule="auto"/>
      </w:pPr>
      <w:r>
        <w:rPr>
          <w:b/>
          <w:color w:val="1B4965"/>
        </w:rPr>
        <w:t xml:space="preserve">Demanda Global: </w:t>
      </w:r>
      <w:r>
        <w:t>Impulsada por China (que procesa más del 60% del litio mundial), la Unión Europea y Estados Unidos para la fabricación de baterías de movilidad eléctrica.</w:t>
      </w:r>
    </w:p>
    <w:p>
      <w:pPr>
        <w:keepNext/>
        <w:spacing w:before="280" w:after="120"/>
      </w:pPr>
      <w:r>
        <w:rPr>
          <w:rFonts w:ascii="Calibri" w:hAnsi="Calibri"/>
          <w:b/>
          <w:color w:val="1B4965"/>
          <w:sz w:val="26"/>
        </w:rPr>
        <w:t>7. Exportaciones e Importaciones de Argentina</w:t>
      </w:r>
    </w:p>
    <w:p>
      <w:pPr>
        <w:pStyle w:val="ListBullet"/>
        <w:spacing w:before="0" w:after="80" w:line="276" w:lineRule="auto"/>
      </w:pPr>
      <w:r>
        <w:rPr>
          <w:b/>
          <w:color w:val="1B4965"/>
        </w:rPr>
        <w:t xml:space="preserve">Exportaciones Actuales: </w:t>
      </w:r>
      <w:r>
        <w:t>Superan los USD 800-1.000 millones anuales (en forma de carbonato y cloruro de litio). Argentina es el cuarto productor mundial y tercer exportador global.</w:t>
      </w:r>
    </w:p>
    <w:p>
      <w:pPr>
        <w:pStyle w:val="ListBullet"/>
        <w:spacing w:before="0" w:after="80" w:line="276" w:lineRule="auto"/>
      </w:pPr>
      <w:r>
        <w:rPr>
          <w:b/>
          <w:color w:val="1B4965"/>
        </w:rPr>
        <w:t xml:space="preserve">Importaciones: </w:t>
      </w:r>
      <w:r>
        <w:t>Cero en materia prima; Argentina es exportador neto del mineral bruto o semiprocesado, aunque importa la mayoría de las celdas y baterías terminadas para consumo final.</w:t>
      </w:r>
    </w:p>
    <w:p>
      <w:pPr>
        <w:pStyle w:val="ListBullet"/>
        <w:spacing w:before="0" w:after="80" w:line="276" w:lineRule="auto"/>
      </w:pPr>
      <w:r>
        <w:rPr>
          <w:b/>
          <w:color w:val="1B4965"/>
        </w:rPr>
        <w:t xml:space="preserve">Proyección: </w:t>
      </w:r>
      <w:r>
        <w:t>Con el ingreso de proyectos bajo el RIGI y expansiones operativas, se proyectan exportaciones superiores a los USD 4.000 millones para el año 2030.</w:t>
      </w:r>
    </w:p>
    <w:p>
      <w:pPr>
        <w:keepNext/>
        <w:spacing w:before="280" w:after="120"/>
      </w:pPr>
      <w:r>
        <w:rPr>
          <w:rFonts w:ascii="Calibri" w:hAnsi="Calibri"/>
          <w:b/>
          <w:color w:val="1B4965"/>
          <w:sz w:val="26"/>
        </w:rPr>
        <w:t>8. Comparación del Mercado Nacional e Internacional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4965"/>
          </w:tcPr>
          <w:p>
            <w:pPr>
              <w:jc w:val="left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3312"/>
            <w:shd w:fill="1B4965"/>
          </w:tcPr>
          <w:p>
            <w:pPr>
              <w:jc w:val="left"/>
            </w:pPr>
            <w:r>
              <w:rPr>
                <w:b/>
                <w:color w:val="FFFFFF"/>
              </w:rPr>
              <w:t>Mercado Nacional (Argentina)</w:t>
            </w:r>
          </w:p>
        </w:tc>
        <w:tc>
          <w:tcPr>
            <w:tcW w:type="dxa" w:w="3456"/>
            <w:shd w:fill="1B4965"/>
          </w:tcPr>
          <w:p>
            <w:pPr>
              <w:jc w:val="left"/>
            </w:pPr>
            <w:r>
              <w:rPr>
                <w:b/>
                <w:color w:val="FFFFFF"/>
              </w:rPr>
              <w:t>Mercado Internacional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</w:rPr>
              <w:t>Producción Actual</w:t>
            </w:r>
          </w:p>
        </w:tc>
        <w:tc>
          <w:tcPr>
            <w:tcW w:type="dxa" w:w="3312"/>
            <w:shd w:fill="FFFFFF"/>
          </w:tcPr>
          <w:p>
            <w:r>
              <w:t>~130.000+ ton/año de LCE</w:t>
            </w:r>
          </w:p>
        </w:tc>
        <w:tc>
          <w:tcPr>
            <w:tcW w:type="dxa" w:w="3456"/>
            <w:shd w:fill="FFFFFF"/>
          </w:tcPr>
          <w:p>
            <w:r>
              <w:t>~1.000.000+ ton/año de LCE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b/>
              </w:rPr>
              <w:t>Inversión / RIGI</w:t>
            </w:r>
          </w:p>
        </w:tc>
        <w:tc>
          <w:tcPr>
            <w:tcW w:type="dxa" w:w="3312"/>
            <w:shd w:fill="F8FAFC"/>
          </w:tcPr>
          <w:p>
            <w:r>
              <w:t>+USD 7.000 M en cartera de proyectos</w:t>
            </w:r>
          </w:p>
        </w:tc>
        <w:tc>
          <w:tcPr>
            <w:tcW w:type="dxa" w:w="3456"/>
            <w:shd w:fill="F8FAFC"/>
          </w:tcPr>
          <w:p>
            <w:r>
              <w:t>Alta competencia por capitales en Chile, Australia y EE. UU.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</w:rPr>
              <w:t>Rol Comercial</w:t>
            </w:r>
          </w:p>
        </w:tc>
        <w:tc>
          <w:tcPr>
            <w:tcW w:type="dxa" w:w="3312"/>
            <w:shd w:fill="FFFFFF"/>
          </w:tcPr>
          <w:p>
            <w:r>
              <w:t>Exportador Neto de carbonato/cloruro</w:t>
            </w:r>
          </w:p>
        </w:tc>
        <w:tc>
          <w:tcPr>
            <w:tcW w:type="dxa" w:w="3456"/>
            <w:shd w:fill="FFFFFF"/>
          </w:tcPr>
          <w:p>
            <w:r>
              <w:t>Dominado por demanda china y producción australiana/chilena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Calibri" w:hAnsi="Calibri"/>
          <w:b/>
          <w:color w:val="1B4965"/>
          <w:sz w:val="26"/>
        </w:rPr>
        <w:t>9. Perspectivas Nacionales y Mundiales</w:t>
      </w:r>
    </w:p>
    <w:p>
      <w:pPr>
        <w:pStyle w:val="ListBullet"/>
        <w:spacing w:before="0" w:after="80" w:line="276" w:lineRule="auto"/>
      </w:pPr>
      <w:r>
        <w:rPr>
          <w:b/>
          <w:color w:val="1B4965"/>
        </w:rPr>
        <w:t xml:space="preserve">Mundial: </w:t>
      </w:r>
      <w:r>
        <w:t>Se prevé que la demanda global de litio se multiplique por 4 para el año 2035, impulsada por las metas globales de descarbonización y electrificación del transporte.</w:t>
      </w:r>
    </w:p>
    <w:p>
      <w:pPr>
        <w:pStyle w:val="ListBullet"/>
        <w:spacing w:before="0" w:after="80" w:line="276" w:lineRule="auto"/>
      </w:pPr>
      <w:r>
        <w:rPr>
          <w:b/>
          <w:color w:val="1B4965"/>
        </w:rPr>
        <w:t xml:space="preserve">Nacional: </w:t>
      </w:r>
      <w:r>
        <w:t>Argentina se encamina a consolidarse como el segundo productor mundial de litio, apoyada en la ventaja competitiva de los costos de extracción en salmueras respecto a la minería de roca dura.</w:t>
      </w:r>
    </w:p>
    <w:p>
      <w:pPr>
        <w:keepNext/>
        <w:spacing w:before="280" w:after="120"/>
      </w:pPr>
      <w:r>
        <w:rPr>
          <w:rFonts w:ascii="Calibri" w:hAnsi="Calibri"/>
          <w:b/>
          <w:color w:val="1B4965"/>
          <w:sz w:val="26"/>
        </w:rPr>
        <w:t>10. Conclusión Propia</w:t>
      </w:r>
    </w:p>
    <w:p>
      <w:pPr>
        <w:spacing w:before="0" w:after="120" w:line="276" w:lineRule="auto"/>
      </w:pPr>
      <w:r>
        <w:t>El litio representa para la Argentina una oportunidad estratégica de inserción en la cadena de valor global de la transición energética. A diferencia de otros minerales, el país ya cuenta con producción activa y proyectos en acelerada expansión en el NOA. Para capitalizar este potencial de manera sostenible, es clave avanzar hacia la agregación de valor local, fortalecer la infraestructura regional y garantizar estándares socioambientales en el uso del recurso hídrico.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