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E74E" w14:textId="77777777" w:rsidR="002B0F92" w:rsidRPr="00BD6E50" w:rsidRDefault="002B0F92" w:rsidP="002B0F92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4502AF8" wp14:editId="628D15C1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E716E" w14:textId="77777777" w:rsidR="00B367E1" w:rsidRDefault="002B0F92" w:rsidP="00B367E1">
      <w:pPr>
        <w:pBdr>
          <w:bottom w:val="single" w:sz="12" w:space="1" w:color="auto"/>
        </w:pBdr>
        <w:spacing w:line="240" w:lineRule="auto"/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 xml:space="preserve">Power of attorney </w:t>
      </w:r>
    </w:p>
    <w:p w14:paraId="6C32577C" w14:textId="77777777" w:rsidR="002B0F92" w:rsidRPr="002B0F92" w:rsidRDefault="0045702C" w:rsidP="002B0F92">
      <w:pPr>
        <w:pBdr>
          <w:bottom w:val="single" w:sz="12" w:space="1" w:color="auto"/>
        </w:pBd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A</w:t>
      </w:r>
      <w:r w:rsidR="002B0F92" w:rsidRPr="002B0F92">
        <w:rPr>
          <w:rFonts w:ascii="Muli" w:hAnsi="Muli"/>
          <w:b/>
          <w:bCs/>
          <w:sz w:val="40"/>
          <w:szCs w:val="40"/>
        </w:rPr>
        <w:t>gent resign</w:t>
      </w:r>
      <w:r>
        <w:rPr>
          <w:rFonts w:ascii="Muli" w:hAnsi="Muli"/>
          <w:b/>
          <w:bCs/>
          <w:sz w:val="40"/>
          <w:szCs w:val="40"/>
        </w:rPr>
        <w:t>ation</w:t>
      </w:r>
      <w:r w:rsidR="002B0F92" w:rsidRPr="002B0F92">
        <w:rPr>
          <w:rFonts w:ascii="Muli" w:hAnsi="Muli"/>
          <w:b/>
          <w:bCs/>
          <w:sz w:val="40"/>
          <w:szCs w:val="40"/>
        </w:rPr>
        <w:t xml:space="preserve"> letter</w:t>
      </w:r>
    </w:p>
    <w:p w14:paraId="625317AC" w14:textId="77777777" w:rsidR="002B0F92" w:rsidRDefault="002B0F92" w:rsidP="002B0F92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28C0036B" w14:textId="77777777" w:rsidR="002B0F92" w:rsidRPr="006E6624" w:rsidRDefault="002B0F92" w:rsidP="002B0F92">
      <w:pPr>
        <w:rPr>
          <w:rFonts w:ascii="Muli" w:hAnsi="Muli"/>
          <w:sz w:val="28"/>
          <w:szCs w:val="28"/>
        </w:rPr>
      </w:pPr>
    </w:p>
    <w:p w14:paraId="694FE2DB" w14:textId="77777777" w:rsidR="002B0F92" w:rsidRDefault="002B0F92" w:rsidP="002B0F92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resignation letter. Here’s what to do next.</w:t>
      </w:r>
    </w:p>
    <w:p w14:paraId="38BED43C" w14:textId="77777777" w:rsidR="002B0F92" w:rsidRDefault="002B0F92" w:rsidP="002B0F92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2B0F92" w14:paraId="45A61408" w14:textId="77777777" w:rsidTr="00AF1DFE">
        <w:tc>
          <w:tcPr>
            <w:tcW w:w="1795" w:type="dxa"/>
          </w:tcPr>
          <w:p w14:paraId="0BE0D220" w14:textId="77777777" w:rsidR="002B0F92" w:rsidRDefault="002B0F92" w:rsidP="00AF1DFE">
            <w:pPr>
              <w:rPr>
                <w:rFonts w:ascii="Muli" w:hAnsi="Muli"/>
                <w:sz w:val="24"/>
                <w:szCs w:val="24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598866A7" wp14:editId="60D6F0D4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9BE50" w14:textId="77777777" w:rsidR="002B0F92" w:rsidRPr="00930390" w:rsidRDefault="002B0F92" w:rsidP="00AF1DFE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14:paraId="0436CEBE" w14:textId="77777777" w:rsidR="002B0F92" w:rsidRPr="005C6B2B" w:rsidRDefault="002B0F92" w:rsidP="002B0F9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>
              <w:rPr>
                <w:rFonts w:ascii="Muli" w:hAnsi="Muli"/>
                <w:sz w:val="28"/>
                <w:szCs w:val="28"/>
              </w:rPr>
              <w:t>letter</w:t>
            </w:r>
            <w:r w:rsidRPr="009A67E1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2B0F92" w14:paraId="225B6DB0" w14:textId="77777777" w:rsidTr="00AF1DFE">
        <w:tc>
          <w:tcPr>
            <w:tcW w:w="1795" w:type="dxa"/>
          </w:tcPr>
          <w:p w14:paraId="0F5B5BEA" w14:textId="77777777" w:rsidR="002B0F92" w:rsidRDefault="002B0F92" w:rsidP="00AF1DFE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30E1DEE4" wp14:editId="64309D8E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1CDCA" w14:textId="77777777" w:rsidR="002B0F92" w:rsidRPr="00AD7AD4" w:rsidRDefault="002B0F92" w:rsidP="00AF1DFE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14:paraId="77A0978B" w14:textId="7D23B941" w:rsidR="002B0F92" w:rsidRDefault="002B0F92" w:rsidP="00AF1DF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742975">
              <w:rPr>
                <w:rFonts w:ascii="Muli" w:hAnsi="Muli"/>
                <w:sz w:val="28"/>
                <w:szCs w:val="28"/>
              </w:rPr>
              <w:t xml:space="preserve">Sign and date the </w:t>
            </w:r>
            <w:r>
              <w:rPr>
                <w:rFonts w:ascii="Muli" w:hAnsi="Muli"/>
                <w:sz w:val="28"/>
                <w:szCs w:val="28"/>
              </w:rPr>
              <w:t>letter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along with </w:t>
            </w:r>
            <w:r>
              <w:rPr>
                <w:rFonts w:ascii="Muli" w:hAnsi="Muli"/>
                <w:sz w:val="28"/>
                <w:szCs w:val="28"/>
              </w:rPr>
              <w:t>a notary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. Write the date at the top and next to your signature. Your </w:t>
            </w:r>
            <w:r>
              <w:rPr>
                <w:rFonts w:ascii="Muli" w:hAnsi="Muli"/>
                <w:sz w:val="28"/>
                <w:szCs w:val="28"/>
              </w:rPr>
              <w:t>notary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</w:t>
            </w:r>
            <w:r w:rsidR="000C24CB">
              <w:rPr>
                <w:rFonts w:ascii="Muli" w:hAnsi="Muli"/>
                <w:sz w:val="28"/>
                <w:szCs w:val="28"/>
              </w:rPr>
              <w:t xml:space="preserve">must 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see you sign </w:t>
            </w:r>
            <w:r w:rsidR="000C24CB">
              <w:rPr>
                <w:rFonts w:ascii="Muli" w:hAnsi="Muli"/>
                <w:sz w:val="28"/>
                <w:szCs w:val="28"/>
              </w:rPr>
              <w:t>the form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, </w:t>
            </w:r>
            <w:r w:rsidR="000C24CB">
              <w:rPr>
                <w:rFonts w:ascii="Muli" w:hAnsi="Muli"/>
                <w:sz w:val="28"/>
                <w:szCs w:val="28"/>
              </w:rPr>
              <w:t>then sign it after you</w:t>
            </w:r>
            <w:r w:rsidRPr="00742975">
              <w:rPr>
                <w:rFonts w:ascii="Muli" w:hAnsi="Muli"/>
                <w:sz w:val="28"/>
                <w:szCs w:val="28"/>
              </w:rPr>
              <w:t>.</w:t>
            </w:r>
            <w:r w:rsidR="0032052B">
              <w:rPr>
                <w:rFonts w:ascii="Muli" w:hAnsi="Muli"/>
                <w:sz w:val="28"/>
                <w:szCs w:val="28"/>
              </w:rPr>
              <w:t xml:space="preserve"> </w:t>
            </w:r>
            <w:r w:rsidR="0032052B" w:rsidRPr="0032052B">
              <w:rPr>
                <w:rFonts w:ascii="Muli" w:hAnsi="Muli"/>
                <w:sz w:val="28"/>
                <w:szCs w:val="28"/>
              </w:rPr>
              <w:t>Do not sign your forms before they are notarized.</w:t>
            </w:r>
          </w:p>
          <w:p w14:paraId="66E2B58A" w14:textId="77777777" w:rsidR="002B0F92" w:rsidRPr="00B615CE" w:rsidRDefault="002B0F92" w:rsidP="00AF1DFE">
            <w:pPr>
              <w:pStyle w:val="ListParagraph"/>
              <w:spacing w:line="240" w:lineRule="auto"/>
              <w:rPr>
                <w:rFonts w:ascii="Muli" w:hAnsi="Muli"/>
                <w:sz w:val="28"/>
                <w:szCs w:val="28"/>
              </w:rPr>
            </w:pPr>
          </w:p>
        </w:tc>
      </w:tr>
      <w:tr w:rsidR="002B0F92" w14:paraId="0AB34BCB" w14:textId="77777777" w:rsidTr="00AF1DFE">
        <w:tc>
          <w:tcPr>
            <w:tcW w:w="1795" w:type="dxa"/>
          </w:tcPr>
          <w:p w14:paraId="288BCAC3" w14:textId="77777777" w:rsidR="002B0F92" w:rsidRDefault="002B0F92" w:rsidP="00AF1DFE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38192A6D" wp14:editId="387D6945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E5BCE" w14:textId="77777777" w:rsidR="002B0F92" w:rsidRPr="003520E9" w:rsidRDefault="002B0F92" w:rsidP="00AF1DFE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14:paraId="7444B3D1" w14:textId="77777777" w:rsidR="002B0F92" w:rsidRPr="00105582" w:rsidRDefault="002B0F92" w:rsidP="002B0F9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>
              <w:rPr>
                <w:rFonts w:ascii="Muli" w:hAnsi="Muli"/>
                <w:sz w:val="28"/>
                <w:szCs w:val="28"/>
              </w:rPr>
              <w:t>letter,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2B0F92" w:rsidRPr="00E45DF6" w14:paraId="4EB9670B" w14:textId="77777777" w:rsidTr="00AF1DFE">
        <w:tc>
          <w:tcPr>
            <w:tcW w:w="1795" w:type="dxa"/>
          </w:tcPr>
          <w:p w14:paraId="1B6F6FC2" w14:textId="77777777" w:rsidR="002B0F92" w:rsidRPr="00E45DF6" w:rsidRDefault="002B0F92" w:rsidP="00AF1DFE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3E3C5575" wp14:editId="2BA737BB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1D1F241E" w14:textId="77777777" w:rsidR="002B0F92" w:rsidRPr="00930390" w:rsidRDefault="002B0F92" w:rsidP="002B0F9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Give copies of the resignation letter</w:t>
            </w:r>
            <w:r w:rsidRPr="005C6B2B">
              <w:rPr>
                <w:rFonts w:ascii="Muli" w:hAnsi="Muli"/>
                <w:sz w:val="28"/>
                <w:szCs w:val="28"/>
              </w:rPr>
              <w:t xml:space="preserve"> to </w:t>
            </w:r>
            <w:r>
              <w:rPr>
                <w:rFonts w:ascii="Muli" w:hAnsi="Muli"/>
                <w:sz w:val="28"/>
                <w:szCs w:val="28"/>
              </w:rPr>
              <w:t>your principal, as well as anyone else who should be notified.</w:t>
            </w:r>
          </w:p>
        </w:tc>
      </w:tr>
    </w:tbl>
    <w:p w14:paraId="39B2EA29" w14:textId="77777777" w:rsidR="002B0F92" w:rsidRDefault="002B0F92" w:rsidP="002B0F92">
      <w:pPr>
        <w:rPr>
          <w:rFonts w:ascii="Muli" w:hAnsi="Muli"/>
          <w:sz w:val="28"/>
          <w:szCs w:val="28"/>
        </w:rPr>
      </w:pPr>
    </w:p>
    <w:p w14:paraId="1FCE0695" w14:textId="77777777" w:rsidR="002B0F92" w:rsidRDefault="002B0F92" w:rsidP="002B0F92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do not need to send these instructions with copies of the letter. </w:t>
      </w:r>
    </w:p>
    <w:p w14:paraId="3DDF33E2" w14:textId="77777777" w:rsidR="002B0F92" w:rsidRDefault="002B0F92" w:rsidP="002B0F92">
      <w:pPr>
        <w:rPr>
          <w:rFonts w:ascii="Muli" w:hAnsi="Muli"/>
          <w:sz w:val="28"/>
          <w:szCs w:val="28"/>
        </w:rPr>
      </w:pPr>
    </w:p>
    <w:p w14:paraId="36D62FF5" w14:textId="77777777" w:rsidR="002B0F92" w:rsidRPr="002B0F92" w:rsidRDefault="002B0F92" w:rsidP="002B0F92">
      <w:pPr>
        <w:rPr>
          <w:rFonts w:ascii="Muli" w:hAnsi="Muli"/>
          <w:sz w:val="28"/>
          <w:szCs w:val="28"/>
        </w:rPr>
      </w:pPr>
      <w:r w:rsidRPr="002B0F92">
        <w:rPr>
          <w:rFonts w:ascii="Muli" w:hAnsi="Muli"/>
          <w:sz w:val="28"/>
          <w:szCs w:val="28"/>
        </w:rPr>
        <w:t>Learn more about ending a power of attorney at</w:t>
      </w:r>
      <w:r w:rsidR="0045702C">
        <w:rPr>
          <w:rFonts w:ascii="Muli" w:hAnsi="Muli"/>
          <w:sz w:val="28"/>
          <w:szCs w:val="28"/>
        </w:rPr>
        <w:t>:</w:t>
      </w:r>
      <w:r w:rsidRPr="002B0F92">
        <w:rPr>
          <w:rFonts w:ascii="Muli" w:hAnsi="Muli"/>
          <w:sz w:val="28"/>
          <w:szCs w:val="28"/>
        </w:rPr>
        <w:t xml:space="preserve"> </w:t>
      </w:r>
      <w:hyperlink r:id="rId12" w:history="1">
        <w:r w:rsidR="0045702C" w:rsidRPr="00ED479D">
          <w:rPr>
            <w:rStyle w:val="Hyperlink"/>
            <w:rFonts w:ascii="Muli" w:hAnsi="Muli"/>
            <w:sz w:val="28"/>
            <w:szCs w:val="28"/>
          </w:rPr>
          <w:t>https://www.illinoislegalaid.org/legal-information/ending-power-attorney-0</w:t>
        </w:r>
      </w:hyperlink>
      <w:r w:rsidR="0045702C">
        <w:rPr>
          <w:rFonts w:ascii="Muli" w:hAnsi="Muli"/>
          <w:sz w:val="28"/>
          <w:szCs w:val="28"/>
        </w:rPr>
        <w:t xml:space="preserve"> </w:t>
      </w:r>
    </w:p>
    <w:p w14:paraId="51FA8F16" w14:textId="77777777" w:rsidR="00F252F7" w:rsidRPr="002B0F92" w:rsidRDefault="00F252F7" w:rsidP="002B0F92"/>
    <w:sectPr w:rsidR="00F252F7" w:rsidRPr="002B0F92" w:rsidSect="001267F6">
      <w:footerReference w:type="first" r:id="rId13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F6AF9" w14:textId="77777777" w:rsidR="00914499" w:rsidRDefault="0045702C">
      <w:pPr>
        <w:spacing w:line="240" w:lineRule="auto"/>
      </w:pPr>
      <w:r>
        <w:separator/>
      </w:r>
    </w:p>
  </w:endnote>
  <w:endnote w:type="continuationSeparator" w:id="0">
    <w:p w14:paraId="5DF3288B" w14:textId="77777777" w:rsidR="00914499" w:rsidRDefault="00457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88D4" w14:textId="77777777" w:rsidR="000C24CB" w:rsidRPr="00660B82" w:rsidRDefault="00B367E1" w:rsidP="0084766E">
    <w:pPr>
      <w:pStyle w:val="Footer"/>
      <w:jc w:val="center"/>
      <w:rPr>
        <w:rFonts w:ascii="Muli" w:hAnsi="Muli"/>
      </w:rPr>
    </w:pPr>
    <w:r w:rsidRPr="00660B82">
      <w:rPr>
        <w:rFonts w:ascii="Muli" w:hAnsi="Muli"/>
      </w:rPr>
      <w:t xml:space="preserve">Illinois Legal Aid Online - </w:t>
    </w:r>
    <w:hyperlink r:id="rId1" w:history="1">
      <w:r w:rsidRPr="00660B82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CCB0" w14:textId="77777777" w:rsidR="00914499" w:rsidRDefault="0045702C">
      <w:pPr>
        <w:spacing w:line="240" w:lineRule="auto"/>
      </w:pPr>
      <w:r>
        <w:separator/>
      </w:r>
    </w:p>
  </w:footnote>
  <w:footnote w:type="continuationSeparator" w:id="0">
    <w:p w14:paraId="7F61BCE3" w14:textId="77777777" w:rsidR="00914499" w:rsidRDefault="004570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92"/>
    <w:rsid w:val="000C24CB"/>
    <w:rsid w:val="002B0F92"/>
    <w:rsid w:val="0032052B"/>
    <w:rsid w:val="0045702C"/>
    <w:rsid w:val="00914499"/>
    <w:rsid w:val="00B367E1"/>
    <w:rsid w:val="00F2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CD67"/>
  <w15:chartTrackingRefBased/>
  <w15:docId w15:val="{48DA7810-C9D6-4C88-8D15-75A327F8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F9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F9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0F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F92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2B0F92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illinoislegalaid.org/legal-information/ending-power-attorney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5</cp:revision>
  <dcterms:created xsi:type="dcterms:W3CDTF">2022-07-26T01:44:00Z</dcterms:created>
  <dcterms:modified xsi:type="dcterms:W3CDTF">2023-08-18T17:12:00Z</dcterms:modified>
</cp:coreProperties>
</file>