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F73153">
        <w:trPr>
          <w:trHeight w:val="1080"/>
        </w:trPr>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0C7FECA8">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1BBCE168" w14:textId="77777777" w:rsidR="005F7478" w:rsidRPr="00B47EB0" w:rsidRDefault="005F7478" w:rsidP="00166055">
            <w:pPr>
              <w:pStyle w:val="NoSpacing"/>
              <w:spacing w:after="40"/>
              <w:rPr>
                <w:rFonts w:cs="Arial"/>
                <w:b/>
                <w:sz w:val="2"/>
                <w:szCs w:val="2"/>
              </w:rPr>
            </w:pPr>
          </w:p>
          <w:p w14:paraId="78BAEC7C" w14:textId="5F675F38"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630C31" w:rsidRDefault="00166055" w:rsidP="00166055">
            <w:pPr>
              <w:pStyle w:val="NoSpacing"/>
              <w:spacing w:after="40"/>
              <w:rPr>
                <w:rFonts w:cs="Arial"/>
                <w:b/>
                <w:sz w:val="8"/>
                <w:szCs w:val="8"/>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{{after_both_death}}</w:t>
            </w:r>
            <w:r w:rsidRPr="00FE0AFA">
              <w:rPr>
                <w:rFonts w:cs="Arial"/>
                <w:szCs w:val="22"/>
              </w:rPr>
              <w:t xml:space="preserve"> in order to transfer the property.</w:t>
            </w:r>
          </w:p>
          <w:p w14:paraId="5A25BAB6" w14:textId="77777777" w:rsidR="00166055" w:rsidRPr="00630C31" w:rsidRDefault="00166055" w:rsidP="00166055">
            <w:pPr>
              <w:pStyle w:val="NoSpacing"/>
              <w:spacing w:after="40"/>
              <w:rPr>
                <w:rFonts w:cs="Arial"/>
                <w:b/>
                <w:sz w:val="8"/>
                <w:szCs w:val="8"/>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{{multiple_must_sign}}</w:t>
            </w:r>
            <w:r w:rsidR="00166055" w:rsidRPr="00FE0AFA">
              <w:rPr>
                <w:rFonts w:cs="Arial"/>
                <w:b/>
                <w:szCs w:val="22"/>
              </w:rPr>
              <w:t xml:space="preserve"> and date the TODI in front of 2 witnesses and a notary public.</w:t>
            </w:r>
          </w:p>
          <w:p w14:paraId="39AB7FD3" w14:textId="7527D491" w:rsidR="00166055" w:rsidRPr="00FE0AFA" w:rsidRDefault="00166055" w:rsidP="00166055">
            <w:pPr>
              <w:pStyle w:val="NoSpacing"/>
              <w:numPr>
                <w:ilvl w:val="0"/>
                <w:numId w:val="4"/>
              </w:numPr>
              <w:spacing w:after="40"/>
              <w:ind w:left="360"/>
              <w:rPr>
                <w:rFonts w:cs="Arial"/>
                <w:szCs w:val="22"/>
              </w:rPr>
            </w:pPr>
            <w:r w:rsidRPr="00FE0AFA">
              <w:rPr>
                <w:rFonts w:cs="Arial"/>
                <w:szCs w:val="22"/>
              </w:rPr>
              <w:t>Read through your forms and make sure everything is correct.</w:t>
            </w:r>
            <w:r w:rsidR="005E44FE" w:rsidRPr="00FE0AFA">
              <w:rPr>
                <w:rFonts w:cs="Arial"/>
                <w:szCs w:val="22"/>
              </w:rPr>
              <w:t xml:space="preserve"> You do not need to fill out the “Affix</w:t>
            </w:r>
            <w:r w:rsidRPr="00FE0AFA">
              <w:rPr>
                <w:rFonts w:cs="Arial"/>
                <w:szCs w:val="22"/>
              </w:rPr>
              <w:t xml:space="preserve"> </w:t>
            </w:r>
            <w:r w:rsidR="005E44FE" w:rsidRPr="00FE0AFA">
              <w:rPr>
                <w:rFonts w:cs="Arial"/>
                <w:szCs w:val="22"/>
              </w:rPr>
              <w:t xml:space="preserve">Transfer Tax Stamp” box until </w:t>
            </w:r>
            <w:proofErr w:type="gramStart"/>
            <w:r w:rsidR="005E44FE" w:rsidRPr="00FE0AFA">
              <w:rPr>
                <w:rFonts w:cs="Arial"/>
                <w:szCs w:val="22"/>
              </w:rPr>
              <w:t>later.</w:t>
            </w:r>
            <w:r w:rsidR="000421AC" w:rsidRPr="00FE0AFA">
              <w:rPr>
                <w:rFonts w:cs="Arial"/>
                <w:szCs w:val="22"/>
              </w:rPr>
              <w:t>s</w:t>
            </w:r>
            <w:proofErr w:type="gramEnd"/>
          </w:p>
          <w:p w14:paraId="03539C52" w14:textId="427B2DA3" w:rsidR="00166055" w:rsidRPr="00FE0AFA" w:rsidRDefault="003C733D" w:rsidP="00166055">
            <w:pPr>
              <w:pStyle w:val="NoSpacing"/>
              <w:numPr>
                <w:ilvl w:val="0"/>
                <w:numId w:val="4"/>
              </w:numPr>
              <w:spacing w:after="40"/>
              <w:ind w:left="360"/>
              <w:rPr>
                <w:rFonts w:cs="Arial"/>
                <w:szCs w:val="22"/>
              </w:rPr>
            </w:pPr>
            <w:r w:rsidRPr="00FE0AFA">
              <w:rPr>
                <w:rFonts w:cs="Arial"/>
                <w:szCs w:val="22"/>
              </w:rPr>
              <w:t xml:space="preserve">{% if joint_language == True </w:t>
            </w:r>
            <w:proofErr w:type="gramStart"/>
            <w:r w:rsidRPr="00FE0AFA">
              <w:rPr>
                <w:rFonts w:cs="Arial"/>
                <w:szCs w:val="22"/>
              </w:rPr>
              <w:t>%}Both</w:t>
            </w:r>
            <w:proofErr w:type="gramEnd"/>
            <w:r w:rsidRPr="00FE0AFA">
              <w:rPr>
                <w:rFonts w:cs="Arial"/>
                <w:szCs w:val="22"/>
              </w:rPr>
              <w:t xml:space="preserve"> of y{% else %}Y{% endif %}</w:t>
            </w:r>
            <w:r w:rsidR="00166055" w:rsidRPr="00FE0AFA">
              <w:rPr>
                <w:rFonts w:cs="Arial"/>
                <w:szCs w:val="22"/>
              </w:rPr>
              <w:t>ou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t>Make extra copies of the signed TODI for your records and for the beneficiaries.</w:t>
            </w:r>
          </w:p>
        </w:tc>
        <w:tc>
          <w:tcPr>
            <w:tcW w:w="5400" w:type="dxa"/>
            <w:tcBorders>
              <w:top w:val="single" w:sz="4" w:space="0" w:color="auto"/>
              <w:left w:val="nil"/>
              <w:bottom w:val="nil"/>
              <w:right w:val="nil"/>
            </w:tcBorders>
          </w:tcPr>
          <w:p w14:paraId="06938B75" w14:textId="77777777" w:rsidR="0038746F" w:rsidRPr="0062215A" w:rsidRDefault="0038746F" w:rsidP="00166055">
            <w:pPr>
              <w:rPr>
                <w:rFonts w:ascii="Arial" w:hAnsi="Arial" w:cs="Arial"/>
                <w:b/>
                <w:sz w:val="22"/>
                <w:szCs w:val="22"/>
              </w:rPr>
            </w:pPr>
          </w:p>
          <w:p w14:paraId="7143E4C4" w14:textId="665FDC4E" w:rsidR="00166055" w:rsidRPr="00D43A3B" w:rsidRDefault="00166055" w:rsidP="00D43A3B">
            <w:pPr>
              <w:pStyle w:val="NoSpacing"/>
              <w:rPr>
                <w:b/>
              </w:rPr>
            </w:pPr>
            <w:r w:rsidRPr="00D43A3B">
              <w:rPr>
                <w:b/>
              </w:rPr>
              <w:t>Record the TODI with the county's Recorder of Deeds</w:t>
            </w:r>
          </w:p>
          <w:p w14:paraId="29A55B91" w14:textId="067B6503" w:rsidR="00CB3DBD" w:rsidRDefault="00CB3DBD" w:rsidP="00166055">
            <w:pPr>
              <w:pStyle w:val="NoSpacing"/>
              <w:numPr>
                <w:ilvl w:val="0"/>
                <w:numId w:val="3"/>
              </w:numPr>
              <w:spacing w:after="40"/>
              <w:ind w:left="360"/>
              <w:rPr>
                <w:rFonts w:cs="Arial"/>
                <w:szCs w:val="22"/>
              </w:rPr>
            </w:pPr>
            <w:r>
              <w:rPr>
                <w:rFonts w:cs="Arial"/>
                <w:szCs w:val="22"/>
              </w:rPr>
              <w:t>Contact the Recorder of Deeds office in your county to learn how to file the TODI.</w:t>
            </w:r>
          </w:p>
          <w:p w14:paraId="54AC3919" w14:textId="6E7F21A8"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w:t>
            </w:r>
            <w:r w:rsidR="00CB3DBD">
              <w:rPr>
                <w:rFonts w:cs="Arial"/>
                <w:szCs w:val="22"/>
              </w:rPr>
              <w:t>.</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630C31" w:rsidRDefault="00166055" w:rsidP="00166055">
            <w:pPr>
              <w:pStyle w:val="NoSpacing"/>
              <w:ind w:left="360"/>
              <w:rPr>
                <w:rFonts w:cs="Arial"/>
                <w:sz w:val="8"/>
                <w:szCs w:val="8"/>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{{after_both_death}}</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{{after_both_death}}</w:t>
            </w:r>
            <w:r w:rsidRPr="008D18D3">
              <w:rPr>
                <w:rFonts w:cs="Arial"/>
                <w:szCs w:val="22"/>
              </w:rPr>
              <w:t xml:space="preserve">, the beneficiaries must complete the Notice of Death Affidavit and Acceptance of Transfer on Death </w:t>
            </w:r>
            <w:proofErr w:type="gramStart"/>
            <w:r w:rsidRPr="008D18D3">
              <w:rPr>
                <w:rFonts w:cs="Arial"/>
                <w:szCs w:val="22"/>
              </w:rPr>
              <w:t xml:space="preserve">Instrument </w:t>
            </w:r>
            <w:r w:rsidR="006D26C4" w:rsidRPr="008D18D3">
              <w:rPr>
                <w:rFonts w:cs="Arial"/>
                <w:szCs w:val="22"/>
              </w:rPr>
              <w:t>.</w:t>
            </w:r>
            <w:proofErr w:type="gramEnd"/>
            <w:r w:rsidR="006D26C4" w:rsidRPr="008D18D3">
              <w:rPr>
                <w:rFonts w:cs="Arial"/>
                <w:szCs w:val="22"/>
              </w:rPr>
              <w:t xml:space="preserve"> They must sign it before 2 witnesses and a notary public. Then they must take the Notice to the same Recorder of Deeds office where the TODI was </w:t>
            </w:r>
            <w:proofErr w:type="gramStart"/>
            <w:r w:rsidR="006D26C4" w:rsidRPr="008D18D3">
              <w:rPr>
                <w:rFonts w:cs="Arial"/>
                <w:szCs w:val="22"/>
              </w:rPr>
              <w:t>recorded.</w:t>
            </w:r>
            <w:r w:rsidRPr="008D18D3">
              <w:rPr>
                <w:rFonts w:cs="Arial"/>
                <w:szCs w:val="22"/>
              </w:rPr>
              <w:t>This</w:t>
            </w:r>
            <w:proofErr w:type="gramEnd"/>
            <w:r w:rsidRPr="008D18D3">
              <w:rPr>
                <w:rFonts w:cs="Arial"/>
                <w:szCs w:val="22"/>
              </w:rPr>
              <w:t xml:space="preserve"> must be done within 2 years of </w:t>
            </w:r>
            <w:r w:rsidR="00F95128" w:rsidRPr="008D18D3">
              <w:rPr>
                <w:rFonts w:cs="Arial"/>
                <w:szCs w:val="22"/>
              </w:rPr>
              <w:t>{{after_one_death}}</w:t>
            </w:r>
            <w:r w:rsidRPr="008D18D3">
              <w:rPr>
                <w:rFonts w:cs="Arial"/>
                <w:szCs w:val="22"/>
              </w:rPr>
              <w:t>.</w:t>
            </w:r>
          </w:p>
          <w:p w14:paraId="084F4435" w14:textId="77777777" w:rsidR="00166055" w:rsidRPr="00630C31" w:rsidRDefault="00166055" w:rsidP="00166055">
            <w:pPr>
              <w:pStyle w:val="NoSpacing"/>
              <w:ind w:left="360"/>
              <w:rPr>
                <w:rFonts w:cs="Arial"/>
                <w:sz w:val="8"/>
                <w:szCs w:val="8"/>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{{i_and_other}</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{{capitalize(either_owner)}}</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proofErr w:type="gramStart"/>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w:t>
            </w:r>
            <w:proofErr w:type="gramEnd"/>
            <w:r w:rsidR="002E7A74" w:rsidRPr="008D18D3">
              <w:rPr>
                <w:rFonts w:cs="Arial"/>
                <w:szCs w:val="22"/>
              </w:rPr>
              <w:t>% if joint_</w:t>
            </w:r>
            <w:r w:rsidR="003C733D" w:rsidRPr="008D18D3">
              <w:rPr>
                <w:rStyle w:val="Hyperlink"/>
                <w:rFonts w:cs="Arial"/>
                <w:color w:val="000000" w:themeColor="text1"/>
                <w:szCs w:val="22"/>
                <w:u w:val="none"/>
              </w:rPr>
              <w:t>language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t>If only one owner revokes the TODI and that owner passes away before the other owner, the TODI can still take effect.</w:t>
            </w:r>
            <w:r w:rsidR="00C778E3" w:rsidRPr="008D18D3">
              <w:rPr>
                <w:rFonts w:cs="Arial"/>
                <w:szCs w:val="22"/>
              </w:rPr>
              <w:t>{% endif %}</w:t>
            </w:r>
          </w:p>
        </w:tc>
      </w:tr>
    </w:tbl>
    <w:p w14:paraId="333761BF" w14:textId="77777777" w:rsidR="00B073A5" w:rsidRPr="000F37E8" w:rsidRDefault="00B073A5" w:rsidP="003B1CED">
      <w:pPr>
        <w:rPr>
          <w:rFonts w:ascii="Arial" w:hAnsi="Arial" w:cs="Arial"/>
          <w:sz w:val="2"/>
          <w:szCs w:val="2"/>
        </w:rPr>
      </w:pPr>
    </w:p>
    <w:sectPr w:rsidR="00B073A5" w:rsidRPr="000F37E8"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25FF5B34" w14:textId="3DCEE367" w:rsidR="00383E17" w:rsidRDefault="00CB3DBD" w:rsidP="004F191C">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044879">
    <w:abstractNumId w:val="4"/>
  </w:num>
  <w:num w:numId="2" w16cid:durableId="1329595190">
    <w:abstractNumId w:val="7"/>
  </w:num>
  <w:num w:numId="3" w16cid:durableId="932543199">
    <w:abstractNumId w:val="8"/>
  </w:num>
  <w:num w:numId="4" w16cid:durableId="124012474">
    <w:abstractNumId w:val="0"/>
  </w:num>
  <w:num w:numId="5" w16cid:durableId="1726442039">
    <w:abstractNumId w:val="5"/>
  </w:num>
  <w:num w:numId="6" w16cid:durableId="882787773">
    <w:abstractNumId w:val="1"/>
  </w:num>
  <w:num w:numId="7" w16cid:durableId="899563114">
    <w:abstractNumId w:val="3"/>
  </w:num>
  <w:num w:numId="8" w16cid:durableId="969162916">
    <w:abstractNumId w:val="6"/>
  </w:num>
  <w:num w:numId="9" w16cid:durableId="209238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0062AC"/>
    <w:rsid w:val="000421AC"/>
    <w:rsid w:val="000F37E8"/>
    <w:rsid w:val="001159F9"/>
    <w:rsid w:val="00166055"/>
    <w:rsid w:val="00177CDD"/>
    <w:rsid w:val="002040DF"/>
    <w:rsid w:val="002041D2"/>
    <w:rsid w:val="0027250C"/>
    <w:rsid w:val="002E7A74"/>
    <w:rsid w:val="00383E17"/>
    <w:rsid w:val="0038746F"/>
    <w:rsid w:val="003B10DF"/>
    <w:rsid w:val="003B1CED"/>
    <w:rsid w:val="003C733D"/>
    <w:rsid w:val="003D37BB"/>
    <w:rsid w:val="00475EFD"/>
    <w:rsid w:val="004F191C"/>
    <w:rsid w:val="005919B7"/>
    <w:rsid w:val="005B6304"/>
    <w:rsid w:val="005E44FE"/>
    <w:rsid w:val="005F7478"/>
    <w:rsid w:val="0062215A"/>
    <w:rsid w:val="00630C31"/>
    <w:rsid w:val="006D26C4"/>
    <w:rsid w:val="0077363F"/>
    <w:rsid w:val="007F0BC1"/>
    <w:rsid w:val="008D18D3"/>
    <w:rsid w:val="008F5297"/>
    <w:rsid w:val="009563B7"/>
    <w:rsid w:val="00984F43"/>
    <w:rsid w:val="0099619F"/>
    <w:rsid w:val="00A93A41"/>
    <w:rsid w:val="00AF6F09"/>
    <w:rsid w:val="00B073A5"/>
    <w:rsid w:val="00B27313"/>
    <w:rsid w:val="00B47EB0"/>
    <w:rsid w:val="00B54A62"/>
    <w:rsid w:val="00C778E3"/>
    <w:rsid w:val="00CB3DBD"/>
    <w:rsid w:val="00CD1102"/>
    <w:rsid w:val="00D43A3B"/>
    <w:rsid w:val="00DD6920"/>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1">
    <w:name w:val="Unresolved Mention1"/>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5DE-7648-4AD4-9E27-A9AB9DD8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49</cp:revision>
  <dcterms:created xsi:type="dcterms:W3CDTF">2022-11-02T00:37:00Z</dcterms:created>
  <dcterms:modified xsi:type="dcterms:W3CDTF">2024-03-28T17:15:00Z</dcterms:modified>
</cp:coreProperties>
</file>