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4134A" w14:textId="77777777" w:rsidR="00DC59DB" w:rsidRDefault="00C6355D">
      <w:pPr>
        <w:rPr>
          <w:rFonts w:ascii="EB Garamond" w:eastAsia="EB Garamond" w:hAnsi="EB Garamond" w:cs="EB Garamond"/>
          <w:sz w:val="24"/>
          <w:szCs w:val="24"/>
        </w:rPr>
      </w:pPr>
      <w:r>
        <w:rPr>
          <w:rFonts w:ascii="EB Garamond" w:eastAsia="EB Garamond" w:hAnsi="EB Garamond" w:cs="EB Garamond"/>
          <w:sz w:val="24"/>
          <w:szCs w:val="24"/>
        </w:rPr>
        <w:t xml:space="preserve">Team 3: Cobra </w:t>
      </w:r>
      <w:proofErr w:type="spellStart"/>
      <w:r>
        <w:rPr>
          <w:rFonts w:ascii="EB Garamond" w:eastAsia="EB Garamond" w:hAnsi="EB Garamond" w:cs="EB Garamond"/>
          <w:sz w:val="24"/>
          <w:szCs w:val="24"/>
        </w:rPr>
        <w:t>Py</w:t>
      </w:r>
      <w:proofErr w:type="spellEnd"/>
    </w:p>
    <w:p w14:paraId="5704E4FC" w14:textId="77777777" w:rsidR="00DC59DB" w:rsidRDefault="00C6355D">
      <w:pPr>
        <w:rPr>
          <w:rFonts w:ascii="EB Garamond" w:eastAsia="EB Garamond" w:hAnsi="EB Garamond" w:cs="EB Garamond"/>
          <w:sz w:val="24"/>
          <w:szCs w:val="24"/>
        </w:rPr>
      </w:pPr>
      <w:r>
        <w:rPr>
          <w:rFonts w:ascii="EB Garamond" w:eastAsia="EB Garamond" w:hAnsi="EB Garamond" w:cs="EB Garamond"/>
          <w:sz w:val="24"/>
          <w:szCs w:val="24"/>
        </w:rPr>
        <w:t>DATS 6103: Summary Report</w:t>
      </w:r>
    </w:p>
    <w:p w14:paraId="71D16EFC" w14:textId="77777777" w:rsidR="00DC59DB" w:rsidRDefault="00C6355D">
      <w:pPr>
        <w:rPr>
          <w:rFonts w:ascii="EB Garamond" w:eastAsia="EB Garamond" w:hAnsi="EB Garamond" w:cs="EB Garamond"/>
          <w:sz w:val="24"/>
          <w:szCs w:val="24"/>
        </w:rPr>
      </w:pPr>
      <w:r>
        <w:rPr>
          <w:rFonts w:ascii="EB Garamond" w:eastAsia="EB Garamond" w:hAnsi="EB Garamond" w:cs="EB Garamond"/>
          <w:sz w:val="24"/>
          <w:szCs w:val="24"/>
        </w:rPr>
        <w:t>Professor Edwin Lo</w:t>
      </w:r>
    </w:p>
    <w:p w14:paraId="0A9BB8C7" w14:textId="77777777" w:rsidR="00DC59DB" w:rsidRDefault="00C6355D">
      <w:pPr>
        <w:rPr>
          <w:rFonts w:ascii="EB Garamond" w:eastAsia="EB Garamond" w:hAnsi="EB Garamond" w:cs="EB Garamond"/>
          <w:sz w:val="24"/>
          <w:szCs w:val="24"/>
        </w:rPr>
      </w:pPr>
      <w:r>
        <w:rPr>
          <w:rFonts w:ascii="EB Garamond" w:eastAsia="EB Garamond" w:hAnsi="EB Garamond" w:cs="EB Garamond"/>
          <w:sz w:val="24"/>
          <w:szCs w:val="24"/>
        </w:rPr>
        <w:t>May 4, 2022</w:t>
      </w:r>
    </w:p>
    <w:p w14:paraId="130C6E42" w14:textId="77777777" w:rsidR="00DC59DB" w:rsidRDefault="00C6355D">
      <w:pPr>
        <w:widowControl w:val="0"/>
        <w:spacing w:line="240" w:lineRule="auto"/>
        <w:jc w:val="center"/>
        <w:rPr>
          <w:rFonts w:ascii="EB Garamond" w:eastAsia="EB Garamond" w:hAnsi="EB Garamond" w:cs="EB Garamond"/>
          <w:color w:val="202124"/>
          <w:sz w:val="24"/>
          <w:szCs w:val="24"/>
          <w:u w:val="single"/>
        </w:rPr>
      </w:pPr>
      <w:r>
        <w:rPr>
          <w:rFonts w:ascii="EB Garamond" w:eastAsia="EB Garamond" w:hAnsi="EB Garamond" w:cs="EB Garamond"/>
          <w:color w:val="202124"/>
          <w:sz w:val="24"/>
          <w:szCs w:val="24"/>
          <w:u w:val="single"/>
        </w:rPr>
        <w:t>Key Community Characteristics Affecting Property Values in DC</w:t>
      </w:r>
    </w:p>
    <w:p w14:paraId="5EEE83C9" w14:textId="77777777" w:rsidR="00DC59DB" w:rsidRDefault="00DC59DB">
      <w:pPr>
        <w:widowControl w:val="0"/>
        <w:spacing w:line="240" w:lineRule="auto"/>
        <w:jc w:val="center"/>
        <w:rPr>
          <w:rFonts w:ascii="EB Garamond" w:eastAsia="EB Garamond" w:hAnsi="EB Garamond" w:cs="EB Garamond"/>
          <w:color w:val="202124"/>
          <w:sz w:val="24"/>
          <w:szCs w:val="24"/>
          <w:u w:val="single"/>
        </w:rPr>
      </w:pPr>
    </w:p>
    <w:p w14:paraId="7F429D7E" w14:textId="77777777" w:rsidR="00DC59DB" w:rsidRDefault="00C6355D">
      <w:pPr>
        <w:jc w:val="center"/>
        <w:rPr>
          <w:rFonts w:ascii="EB Garamond" w:eastAsia="EB Garamond" w:hAnsi="EB Garamond" w:cs="EB Garamond"/>
          <w:b/>
          <w:sz w:val="24"/>
          <w:szCs w:val="24"/>
        </w:rPr>
      </w:pPr>
      <w:r>
        <w:rPr>
          <w:rFonts w:ascii="EB Garamond" w:eastAsia="EB Garamond" w:hAnsi="EB Garamond" w:cs="EB Garamond"/>
          <w:b/>
          <w:sz w:val="24"/>
          <w:szCs w:val="24"/>
        </w:rPr>
        <w:t>Introduction</w:t>
      </w:r>
    </w:p>
    <w:p w14:paraId="39A0E50F" w14:textId="77777777" w:rsidR="00DC59DB" w:rsidRDefault="00DC59DB">
      <w:pPr>
        <w:rPr>
          <w:rFonts w:ascii="EB Garamond" w:eastAsia="EB Garamond" w:hAnsi="EB Garamond" w:cs="EB Garamond"/>
          <w:sz w:val="24"/>
          <w:szCs w:val="24"/>
        </w:rPr>
      </w:pPr>
    </w:p>
    <w:p w14:paraId="6C8034B5" w14:textId="4DB38788" w:rsidR="00DC59DB" w:rsidRDefault="00C6355D">
      <w:pPr>
        <w:spacing w:line="360" w:lineRule="auto"/>
        <w:ind w:firstLine="720"/>
        <w:rPr>
          <w:rFonts w:ascii="EB Garamond" w:eastAsia="EB Garamond" w:hAnsi="EB Garamond" w:cs="EB Garamond"/>
          <w:color w:val="222222"/>
          <w:sz w:val="24"/>
          <w:szCs w:val="24"/>
        </w:rPr>
      </w:pPr>
      <w:r>
        <w:rPr>
          <w:rFonts w:ascii="EB Garamond" w:eastAsia="EB Garamond" w:hAnsi="EB Garamond" w:cs="EB Garamond"/>
          <w:sz w:val="24"/>
          <w:szCs w:val="24"/>
        </w:rPr>
        <w:t>At the end of 2020, homeownership in the USA had substantially increased (</w:t>
      </w:r>
      <w:r>
        <w:rPr>
          <w:rFonts w:ascii="EB Garamond" w:eastAsia="EB Garamond" w:hAnsi="EB Garamond" w:cs="EB Garamond"/>
          <w:sz w:val="24"/>
          <w:szCs w:val="24"/>
        </w:rPr>
        <w:t>up by 0.7</w:t>
      </w:r>
      <w:proofErr w:type="gramStart"/>
      <w:r>
        <w:rPr>
          <w:rFonts w:ascii="EB Garamond" w:eastAsia="EB Garamond" w:hAnsi="EB Garamond" w:cs="EB Garamond"/>
          <w:sz w:val="24"/>
          <w:szCs w:val="24"/>
        </w:rPr>
        <w:t>%  from</w:t>
      </w:r>
      <w:proofErr w:type="gramEnd"/>
      <w:r>
        <w:rPr>
          <w:rFonts w:ascii="EB Garamond" w:eastAsia="EB Garamond" w:hAnsi="EB Garamond" w:cs="EB Garamond"/>
          <w:sz w:val="24"/>
          <w:szCs w:val="24"/>
        </w:rPr>
        <w:t xml:space="preserve"> 2019), similar to the homeownership increase  seen between 2003 and 2004 (0.9 %). Despite the financial crisis brought on by the pandemic, buyers sought to take adv</w:t>
      </w:r>
      <w:r>
        <w:rPr>
          <w:rFonts w:ascii="EB Garamond" w:eastAsia="EB Garamond" w:hAnsi="EB Garamond" w:cs="EB Garamond"/>
          <w:sz w:val="24"/>
          <w:szCs w:val="24"/>
        </w:rPr>
        <w:t xml:space="preserve">antage of working from home and record low mortgage rates. However, as home ownership rates grew, so did home prices, averaging </w:t>
      </w:r>
      <w:r>
        <w:rPr>
          <w:rFonts w:ascii="EB Garamond" w:eastAsia="EB Garamond" w:hAnsi="EB Garamond" w:cs="EB Garamond"/>
          <w:color w:val="202124"/>
          <w:sz w:val="24"/>
          <w:szCs w:val="24"/>
          <w:highlight w:val="white"/>
        </w:rPr>
        <w:t>$391,900 in 2020 (</w:t>
      </w:r>
      <w:proofErr w:type="spellStart"/>
      <w:r>
        <w:rPr>
          <w:rFonts w:ascii="EB Garamond" w:eastAsia="EB Garamond" w:hAnsi="EB Garamond" w:cs="EB Garamond"/>
          <w:color w:val="202124"/>
          <w:sz w:val="24"/>
          <w:szCs w:val="24"/>
          <w:highlight w:val="white"/>
        </w:rPr>
        <w:t>Statistica</w:t>
      </w:r>
      <w:proofErr w:type="spellEnd"/>
      <w:r>
        <w:rPr>
          <w:rFonts w:ascii="EB Garamond" w:eastAsia="EB Garamond" w:hAnsi="EB Garamond" w:cs="EB Garamond"/>
          <w:color w:val="202124"/>
          <w:sz w:val="24"/>
          <w:szCs w:val="24"/>
          <w:highlight w:val="white"/>
        </w:rPr>
        <w:t>), a 10.4% year over year gain (S&amp;P CoreLogic Case-Shiller US National Home Price Index)</w:t>
      </w:r>
      <w:r>
        <w:rPr>
          <w:rFonts w:ascii="EB Garamond" w:eastAsia="EB Garamond" w:hAnsi="EB Garamond" w:cs="EB Garamond"/>
          <w:sz w:val="24"/>
          <w:szCs w:val="24"/>
        </w:rPr>
        <w:t>. Location i</w:t>
      </w:r>
      <w:r>
        <w:rPr>
          <w:rFonts w:ascii="EB Garamond" w:eastAsia="EB Garamond" w:hAnsi="EB Garamond" w:cs="EB Garamond"/>
          <w:sz w:val="24"/>
          <w:szCs w:val="24"/>
        </w:rPr>
        <w:t xml:space="preserve">s a major factor in determining a home’s value, but other external factors are often overlooked. The US Appraisal Institute assesses that factors such as “bad neighbors </w:t>
      </w:r>
      <w:proofErr w:type="gramStart"/>
      <w:r>
        <w:rPr>
          <w:rFonts w:ascii="EB Garamond" w:eastAsia="EB Garamond" w:hAnsi="EB Garamond" w:cs="EB Garamond"/>
          <w:sz w:val="24"/>
          <w:szCs w:val="24"/>
        </w:rPr>
        <w:t xml:space="preserve">could </w:t>
      </w:r>
      <w:r>
        <w:rPr>
          <w:rFonts w:ascii="EB Garamond" w:eastAsia="EB Garamond" w:hAnsi="EB Garamond" w:cs="EB Garamond"/>
          <w:color w:val="1A202C"/>
          <w:sz w:val="24"/>
          <w:szCs w:val="24"/>
        </w:rPr>
        <w:t xml:space="preserve"> potentially</w:t>
      </w:r>
      <w:proofErr w:type="gramEnd"/>
      <w:r>
        <w:rPr>
          <w:rFonts w:ascii="EB Garamond" w:eastAsia="EB Garamond" w:hAnsi="EB Garamond" w:cs="EB Garamond"/>
          <w:color w:val="1A202C"/>
          <w:sz w:val="24"/>
          <w:szCs w:val="24"/>
        </w:rPr>
        <w:t xml:space="preserve"> reduce your home’s  value by  </w:t>
      </w:r>
      <w:r>
        <w:rPr>
          <w:rFonts w:ascii="EB Garamond" w:eastAsia="EB Garamond" w:hAnsi="EB Garamond" w:cs="EB Garamond"/>
          <w:color w:val="222222"/>
          <w:sz w:val="24"/>
          <w:szCs w:val="24"/>
        </w:rPr>
        <w:t xml:space="preserve">more than 5 to 10 percent”. </w:t>
      </w:r>
    </w:p>
    <w:p w14:paraId="0D72EFCE" w14:textId="77777777" w:rsidR="00DC59DB" w:rsidRDefault="00C6355D">
      <w:pPr>
        <w:spacing w:line="360" w:lineRule="auto"/>
        <w:ind w:firstLine="720"/>
        <w:rPr>
          <w:rFonts w:ascii="EB Garamond" w:eastAsia="EB Garamond" w:hAnsi="EB Garamond" w:cs="EB Garamond"/>
          <w:color w:val="222222"/>
          <w:sz w:val="24"/>
          <w:szCs w:val="24"/>
        </w:rPr>
      </w:pPr>
      <w:r>
        <w:rPr>
          <w:rFonts w:ascii="EB Garamond" w:eastAsia="EB Garamond" w:hAnsi="EB Garamond" w:cs="EB Garamond"/>
          <w:color w:val="222222"/>
          <w:sz w:val="24"/>
          <w:szCs w:val="24"/>
        </w:rPr>
        <w:t xml:space="preserve">Using </w:t>
      </w:r>
      <w:r>
        <w:rPr>
          <w:rFonts w:ascii="EB Garamond" w:eastAsia="EB Garamond" w:hAnsi="EB Garamond" w:cs="EB Garamond"/>
          <w:sz w:val="24"/>
          <w:szCs w:val="24"/>
        </w:rPr>
        <w:t>The</w:t>
      </w:r>
      <w:r>
        <w:rPr>
          <w:rFonts w:ascii="EB Garamond" w:eastAsia="EB Garamond" w:hAnsi="EB Garamond" w:cs="EB Garamond"/>
          <w:sz w:val="24"/>
          <w:szCs w:val="24"/>
        </w:rPr>
        <w:t xml:space="preserve"> Federal Financial Institutions Examination </w:t>
      </w:r>
      <w:proofErr w:type="gramStart"/>
      <w:r>
        <w:rPr>
          <w:rFonts w:ascii="EB Garamond" w:eastAsia="EB Garamond" w:hAnsi="EB Garamond" w:cs="EB Garamond"/>
          <w:sz w:val="24"/>
          <w:szCs w:val="24"/>
        </w:rPr>
        <w:t>Council’s  (</w:t>
      </w:r>
      <w:proofErr w:type="gramEnd"/>
      <w:r>
        <w:rPr>
          <w:rFonts w:ascii="EB Garamond" w:eastAsia="EB Garamond" w:hAnsi="EB Garamond" w:cs="EB Garamond"/>
          <w:sz w:val="24"/>
          <w:szCs w:val="24"/>
        </w:rPr>
        <w:t xml:space="preserve">FFIEC) Loan Application Register (LAR) as our data source, </w:t>
      </w:r>
      <w:r>
        <w:rPr>
          <w:rFonts w:ascii="EB Garamond" w:eastAsia="EB Garamond" w:hAnsi="EB Garamond" w:cs="EB Garamond"/>
          <w:color w:val="222222"/>
          <w:sz w:val="24"/>
          <w:szCs w:val="24"/>
        </w:rPr>
        <w:t xml:space="preserve">we determined which community characteristics affect property values. In theory, we would expect that almost all the price variance </w:t>
      </w:r>
      <w:proofErr w:type="gramStart"/>
      <w:r>
        <w:rPr>
          <w:rFonts w:ascii="EB Garamond" w:eastAsia="EB Garamond" w:hAnsi="EB Garamond" w:cs="EB Garamond"/>
          <w:color w:val="222222"/>
          <w:sz w:val="24"/>
          <w:szCs w:val="24"/>
        </w:rPr>
        <w:t>for  prop</w:t>
      </w:r>
      <w:r>
        <w:rPr>
          <w:rFonts w:ascii="EB Garamond" w:eastAsia="EB Garamond" w:hAnsi="EB Garamond" w:cs="EB Garamond"/>
          <w:color w:val="222222"/>
          <w:sz w:val="24"/>
          <w:szCs w:val="24"/>
        </w:rPr>
        <w:t>erty</w:t>
      </w:r>
      <w:proofErr w:type="gramEnd"/>
      <w:r>
        <w:rPr>
          <w:rFonts w:ascii="EB Garamond" w:eastAsia="EB Garamond" w:hAnsi="EB Garamond" w:cs="EB Garamond"/>
          <w:color w:val="222222"/>
          <w:sz w:val="24"/>
          <w:szCs w:val="24"/>
        </w:rPr>
        <w:t xml:space="preserve"> values would come from the physical attributes of the property, such as square footage, number of bedrooms, etc. However, we found that about 24% </w:t>
      </w:r>
      <w:proofErr w:type="gramStart"/>
      <w:r>
        <w:rPr>
          <w:rFonts w:ascii="EB Garamond" w:eastAsia="EB Garamond" w:hAnsi="EB Garamond" w:cs="EB Garamond"/>
          <w:color w:val="222222"/>
          <w:sz w:val="24"/>
          <w:szCs w:val="24"/>
        </w:rPr>
        <w:t>of  the</w:t>
      </w:r>
      <w:proofErr w:type="gramEnd"/>
      <w:r>
        <w:rPr>
          <w:rFonts w:ascii="EB Garamond" w:eastAsia="EB Garamond" w:hAnsi="EB Garamond" w:cs="EB Garamond"/>
          <w:color w:val="222222"/>
          <w:sz w:val="24"/>
          <w:szCs w:val="24"/>
        </w:rPr>
        <w:t xml:space="preserve"> variance in our data came  from community factors rather than physical attributes of the property</w:t>
      </w:r>
      <w:r>
        <w:rPr>
          <w:rFonts w:ascii="EB Garamond" w:eastAsia="EB Garamond" w:hAnsi="EB Garamond" w:cs="EB Garamond"/>
          <w:color w:val="222222"/>
          <w:sz w:val="24"/>
          <w:szCs w:val="24"/>
        </w:rPr>
        <w:t>.  We defined community characteristics as factors that are unrelated to the physical characteristics of the property. Broadly thought of as the neighborhood makeup, these include, but not limited to, the percentage of the community members that are consid</w:t>
      </w:r>
      <w:r>
        <w:rPr>
          <w:rFonts w:ascii="EB Garamond" w:eastAsia="EB Garamond" w:hAnsi="EB Garamond" w:cs="EB Garamond"/>
          <w:color w:val="222222"/>
          <w:sz w:val="24"/>
          <w:szCs w:val="24"/>
        </w:rPr>
        <w:t>ered minorities, whether the community consists of primarily homeowners or renters, income levels of members, and number of family members per household.</w:t>
      </w:r>
    </w:p>
    <w:p w14:paraId="0D66629E" w14:textId="77777777" w:rsidR="00DC59DB" w:rsidRDefault="00C6355D">
      <w:pPr>
        <w:spacing w:line="360" w:lineRule="auto"/>
        <w:ind w:firstLine="720"/>
        <w:rPr>
          <w:rFonts w:ascii="EB Garamond" w:eastAsia="EB Garamond" w:hAnsi="EB Garamond" w:cs="EB Garamond"/>
          <w:color w:val="222222"/>
          <w:sz w:val="24"/>
          <w:szCs w:val="24"/>
        </w:rPr>
      </w:pPr>
      <w:r>
        <w:rPr>
          <w:rFonts w:ascii="EB Garamond" w:eastAsia="EB Garamond" w:hAnsi="EB Garamond" w:cs="EB Garamond"/>
          <w:color w:val="222222"/>
          <w:sz w:val="24"/>
          <w:szCs w:val="24"/>
        </w:rPr>
        <w:t xml:space="preserve">Furthermore, </w:t>
      </w:r>
      <w:proofErr w:type="gramStart"/>
      <w:r>
        <w:rPr>
          <w:rFonts w:ascii="EB Garamond" w:eastAsia="EB Garamond" w:hAnsi="EB Garamond" w:cs="EB Garamond"/>
          <w:color w:val="222222"/>
          <w:sz w:val="24"/>
          <w:szCs w:val="24"/>
        </w:rPr>
        <w:t>we  wanted</w:t>
      </w:r>
      <w:proofErr w:type="gramEnd"/>
      <w:r>
        <w:rPr>
          <w:rFonts w:ascii="EB Garamond" w:eastAsia="EB Garamond" w:hAnsi="EB Garamond" w:cs="EB Garamond"/>
          <w:color w:val="222222"/>
          <w:sz w:val="24"/>
          <w:szCs w:val="24"/>
        </w:rPr>
        <w:t xml:space="preserve"> to hone in</w:t>
      </w:r>
      <w:r>
        <w:rPr>
          <w:rFonts w:ascii="Average" w:eastAsia="Average" w:hAnsi="Average" w:cs="Average"/>
          <w:color w:val="202124"/>
          <w:sz w:val="24"/>
          <w:szCs w:val="24"/>
        </w:rPr>
        <w:t xml:space="preserve"> on the bias in social groups that affect mortgage loans and the ass</w:t>
      </w:r>
      <w:r>
        <w:rPr>
          <w:rFonts w:ascii="Average" w:eastAsia="Average" w:hAnsi="Average" w:cs="Average"/>
          <w:color w:val="202124"/>
          <w:sz w:val="24"/>
          <w:szCs w:val="24"/>
        </w:rPr>
        <w:t>ociated costs.</w:t>
      </w:r>
      <w:r>
        <w:rPr>
          <w:rFonts w:ascii="EB Garamond" w:eastAsia="EB Garamond" w:hAnsi="EB Garamond" w:cs="EB Garamond"/>
          <w:color w:val="222222"/>
          <w:sz w:val="24"/>
          <w:szCs w:val="24"/>
        </w:rPr>
        <w:t xml:space="preserve"> Looking broadly at females and racial minorities, we assessed if there are any </w:t>
      </w:r>
      <w:r>
        <w:rPr>
          <w:rFonts w:ascii="EB Garamond" w:eastAsia="EB Garamond" w:hAnsi="EB Garamond" w:cs="EB Garamond"/>
          <w:sz w:val="24"/>
          <w:szCs w:val="24"/>
        </w:rPr>
        <w:t xml:space="preserve">statistically significant differences in how much each group paid in interest rates and loan </w:t>
      </w:r>
      <w:r>
        <w:rPr>
          <w:rFonts w:ascii="EB Garamond" w:eastAsia="EB Garamond" w:hAnsi="EB Garamond" w:cs="EB Garamond"/>
          <w:sz w:val="24"/>
          <w:szCs w:val="24"/>
        </w:rPr>
        <w:lastRenderedPageBreak/>
        <w:t xml:space="preserve">application fees for their mortgage applications.  This is important because institutional lending practices can often indirectly affect a </w:t>
      </w:r>
      <w:proofErr w:type="gramStart"/>
      <w:r>
        <w:rPr>
          <w:rFonts w:ascii="EB Garamond" w:eastAsia="EB Garamond" w:hAnsi="EB Garamond" w:cs="EB Garamond"/>
          <w:sz w:val="24"/>
          <w:szCs w:val="24"/>
        </w:rPr>
        <w:t>neighborhoods</w:t>
      </w:r>
      <w:proofErr w:type="gramEnd"/>
      <w:r>
        <w:rPr>
          <w:rFonts w:ascii="EB Garamond" w:eastAsia="EB Garamond" w:hAnsi="EB Garamond" w:cs="EB Garamond"/>
          <w:sz w:val="24"/>
          <w:szCs w:val="24"/>
        </w:rPr>
        <w:t xml:space="preserve"> social mak</w:t>
      </w:r>
      <w:r>
        <w:rPr>
          <w:rFonts w:ascii="EB Garamond" w:eastAsia="EB Garamond" w:hAnsi="EB Garamond" w:cs="EB Garamond"/>
          <w:sz w:val="24"/>
          <w:szCs w:val="24"/>
        </w:rPr>
        <w:t>e up.</w:t>
      </w:r>
    </w:p>
    <w:p w14:paraId="2BE20464" w14:textId="77777777" w:rsidR="00DC59DB" w:rsidRDefault="00DC59DB">
      <w:pPr>
        <w:spacing w:line="360" w:lineRule="auto"/>
        <w:ind w:firstLine="720"/>
        <w:rPr>
          <w:rFonts w:ascii="EB Garamond" w:eastAsia="EB Garamond" w:hAnsi="EB Garamond" w:cs="EB Garamond"/>
          <w:color w:val="222222"/>
          <w:sz w:val="24"/>
          <w:szCs w:val="24"/>
        </w:rPr>
      </w:pPr>
    </w:p>
    <w:p w14:paraId="18CF44A0" w14:textId="77777777" w:rsidR="00DC59DB" w:rsidRDefault="00C6355D">
      <w:pPr>
        <w:spacing w:line="360" w:lineRule="auto"/>
        <w:jc w:val="center"/>
        <w:rPr>
          <w:rFonts w:ascii="EB Garamond" w:eastAsia="EB Garamond" w:hAnsi="EB Garamond" w:cs="EB Garamond"/>
          <w:b/>
          <w:color w:val="222222"/>
          <w:sz w:val="24"/>
          <w:szCs w:val="24"/>
        </w:rPr>
      </w:pPr>
      <w:r>
        <w:rPr>
          <w:rFonts w:ascii="EB Garamond" w:eastAsia="EB Garamond" w:hAnsi="EB Garamond" w:cs="EB Garamond"/>
          <w:b/>
          <w:color w:val="222222"/>
          <w:sz w:val="24"/>
          <w:szCs w:val="24"/>
        </w:rPr>
        <w:t>SMART Questions</w:t>
      </w:r>
    </w:p>
    <w:p w14:paraId="62886EDC" w14:textId="77777777" w:rsidR="00DC59DB" w:rsidRDefault="00C6355D">
      <w:pPr>
        <w:spacing w:line="360" w:lineRule="auto"/>
        <w:rPr>
          <w:rFonts w:ascii="EB Garamond" w:eastAsia="EB Garamond" w:hAnsi="EB Garamond" w:cs="EB Garamond"/>
          <w:color w:val="222222"/>
          <w:sz w:val="24"/>
          <w:szCs w:val="24"/>
        </w:rPr>
      </w:pPr>
      <w:r>
        <w:rPr>
          <w:rFonts w:ascii="EB Garamond" w:eastAsia="EB Garamond" w:hAnsi="EB Garamond" w:cs="EB Garamond"/>
          <w:color w:val="222222"/>
          <w:sz w:val="24"/>
          <w:szCs w:val="24"/>
        </w:rPr>
        <w:t xml:space="preserve">With the intention of focusing the project to relevant aspects of our own communities, we focused on recent data for properties in Washington DC (please see Description of Data). </w:t>
      </w:r>
      <w:proofErr w:type="gramStart"/>
      <w:r>
        <w:rPr>
          <w:rFonts w:ascii="EB Garamond" w:eastAsia="EB Garamond" w:hAnsi="EB Garamond" w:cs="EB Garamond"/>
          <w:color w:val="222222"/>
          <w:sz w:val="24"/>
          <w:szCs w:val="24"/>
        </w:rPr>
        <w:t>In particular, we</w:t>
      </w:r>
      <w:proofErr w:type="gramEnd"/>
      <w:r>
        <w:rPr>
          <w:rFonts w:ascii="EB Garamond" w:eastAsia="EB Garamond" w:hAnsi="EB Garamond" w:cs="EB Garamond"/>
          <w:color w:val="222222"/>
          <w:sz w:val="24"/>
          <w:szCs w:val="24"/>
        </w:rPr>
        <w:t xml:space="preserve"> inquired into to two aspects of prop</w:t>
      </w:r>
      <w:r>
        <w:rPr>
          <w:rFonts w:ascii="EB Garamond" w:eastAsia="EB Garamond" w:hAnsi="EB Garamond" w:cs="EB Garamond"/>
          <w:color w:val="222222"/>
          <w:sz w:val="24"/>
          <w:szCs w:val="24"/>
        </w:rPr>
        <w:t>erty value and the loans associated with them:</w:t>
      </w:r>
    </w:p>
    <w:p w14:paraId="2711EBBA" w14:textId="77777777" w:rsidR="00DC59DB" w:rsidRDefault="00C6355D">
      <w:pPr>
        <w:numPr>
          <w:ilvl w:val="0"/>
          <w:numId w:val="4"/>
        </w:numPr>
        <w:spacing w:line="360" w:lineRule="auto"/>
        <w:rPr>
          <w:rFonts w:ascii="EB Garamond" w:eastAsia="EB Garamond" w:hAnsi="EB Garamond" w:cs="EB Garamond"/>
          <w:color w:val="222222"/>
          <w:sz w:val="24"/>
          <w:szCs w:val="24"/>
        </w:rPr>
      </w:pPr>
      <w:r>
        <w:rPr>
          <w:rFonts w:ascii="EB Garamond" w:eastAsia="EB Garamond" w:hAnsi="EB Garamond" w:cs="EB Garamond"/>
          <w:color w:val="222222"/>
          <w:sz w:val="24"/>
          <w:szCs w:val="24"/>
        </w:rPr>
        <w:t>How much of the property prices in DC were affected by community factors in 2020?</w:t>
      </w:r>
    </w:p>
    <w:p w14:paraId="758D176F" w14:textId="77777777" w:rsidR="00DC59DB" w:rsidRDefault="00C6355D">
      <w:pPr>
        <w:numPr>
          <w:ilvl w:val="0"/>
          <w:numId w:val="4"/>
        </w:numPr>
        <w:spacing w:line="360" w:lineRule="auto"/>
        <w:rPr>
          <w:rFonts w:ascii="EB Garamond" w:eastAsia="EB Garamond" w:hAnsi="EB Garamond" w:cs="EB Garamond"/>
          <w:color w:val="222222"/>
          <w:sz w:val="24"/>
          <w:szCs w:val="24"/>
        </w:rPr>
      </w:pPr>
      <w:r>
        <w:rPr>
          <w:rFonts w:ascii="EB Garamond" w:eastAsia="EB Garamond" w:hAnsi="EB Garamond" w:cs="EB Garamond"/>
          <w:color w:val="222222"/>
          <w:sz w:val="24"/>
          <w:szCs w:val="24"/>
        </w:rPr>
        <w:t>Do women and minorities differ in how much they pay in interest rates and loan costs?</w:t>
      </w:r>
    </w:p>
    <w:p w14:paraId="40C8E77F" w14:textId="77777777" w:rsidR="00DC59DB" w:rsidRDefault="00DC59DB">
      <w:pPr>
        <w:rPr>
          <w:rFonts w:ascii="EB Garamond" w:eastAsia="EB Garamond" w:hAnsi="EB Garamond" w:cs="EB Garamond"/>
          <w:b/>
          <w:sz w:val="24"/>
          <w:szCs w:val="24"/>
        </w:rPr>
      </w:pPr>
    </w:p>
    <w:p w14:paraId="7665DBCF" w14:textId="77777777" w:rsidR="00DC59DB" w:rsidRDefault="00C6355D">
      <w:pPr>
        <w:jc w:val="center"/>
        <w:rPr>
          <w:rFonts w:ascii="EB Garamond" w:eastAsia="EB Garamond" w:hAnsi="EB Garamond" w:cs="EB Garamond"/>
          <w:b/>
          <w:sz w:val="24"/>
          <w:szCs w:val="24"/>
        </w:rPr>
      </w:pPr>
      <w:r>
        <w:rPr>
          <w:rFonts w:ascii="EB Garamond" w:eastAsia="EB Garamond" w:hAnsi="EB Garamond" w:cs="EB Garamond"/>
          <w:b/>
          <w:sz w:val="24"/>
          <w:szCs w:val="24"/>
        </w:rPr>
        <w:t xml:space="preserve">Literature Review </w:t>
      </w:r>
    </w:p>
    <w:p w14:paraId="3CAE8AE3" w14:textId="77777777" w:rsidR="00DC59DB" w:rsidRDefault="00DC59DB">
      <w:pPr>
        <w:rPr>
          <w:rFonts w:ascii="EB Garamond" w:eastAsia="EB Garamond" w:hAnsi="EB Garamond" w:cs="EB Garamond"/>
          <w:sz w:val="24"/>
          <w:szCs w:val="24"/>
        </w:rPr>
      </w:pPr>
    </w:p>
    <w:p w14:paraId="0F12F584" w14:textId="77777777" w:rsidR="00DC59DB" w:rsidRDefault="00C6355D">
      <w:pPr>
        <w:rPr>
          <w:rFonts w:ascii="EB Garamond" w:eastAsia="EB Garamond" w:hAnsi="EB Garamond" w:cs="EB Garamond"/>
          <w:color w:val="202124"/>
          <w:sz w:val="24"/>
          <w:szCs w:val="24"/>
        </w:rPr>
      </w:pPr>
      <w:r>
        <w:rPr>
          <w:rFonts w:ascii="EB Garamond" w:eastAsia="EB Garamond" w:hAnsi="EB Garamond" w:cs="EB Garamond"/>
          <w:sz w:val="24"/>
          <w:szCs w:val="24"/>
        </w:rPr>
        <w:t>Prior research in th</w:t>
      </w:r>
      <w:r>
        <w:rPr>
          <w:rFonts w:ascii="EB Garamond" w:eastAsia="EB Garamond" w:hAnsi="EB Garamond" w:cs="EB Garamond"/>
          <w:sz w:val="24"/>
          <w:szCs w:val="24"/>
        </w:rPr>
        <w:t>is area has mostly focused on the effect of Homeowner and Community Associations on the dis</w:t>
      </w:r>
      <w:r>
        <w:rPr>
          <w:rFonts w:ascii="EB Garamond" w:eastAsia="EB Garamond" w:hAnsi="EB Garamond" w:cs="EB Garamond"/>
          <w:color w:val="202124"/>
          <w:sz w:val="24"/>
          <w:szCs w:val="24"/>
        </w:rPr>
        <w:t>criminatory practices of such institutions. Others have examined how individuals and institutions respond to regulatory or policy changes leading to “unequal distrib</w:t>
      </w:r>
      <w:r>
        <w:rPr>
          <w:rFonts w:ascii="EB Garamond" w:eastAsia="EB Garamond" w:hAnsi="EB Garamond" w:cs="EB Garamond"/>
          <w:color w:val="202124"/>
          <w:sz w:val="24"/>
          <w:szCs w:val="24"/>
        </w:rPr>
        <w:t xml:space="preserve">ution of resources for the target population” (Lee and Bostic, 2020; </w:t>
      </w:r>
      <w:hyperlink r:id="rId5" w:anchor="bib0048">
        <w:r>
          <w:rPr>
            <w:rFonts w:ascii="EB Garamond" w:eastAsia="EB Garamond" w:hAnsi="EB Garamond" w:cs="EB Garamond"/>
            <w:color w:val="202124"/>
            <w:sz w:val="24"/>
            <w:szCs w:val="24"/>
          </w:rPr>
          <w:t>Koning and Heinrich, 2013</w:t>
        </w:r>
      </w:hyperlink>
      <w:r>
        <w:rPr>
          <w:rFonts w:ascii="EB Garamond" w:eastAsia="EB Garamond" w:hAnsi="EB Garamond" w:cs="EB Garamond"/>
          <w:color w:val="202124"/>
          <w:sz w:val="24"/>
          <w:szCs w:val="24"/>
        </w:rPr>
        <w:t xml:space="preserve">; </w:t>
      </w:r>
      <w:hyperlink r:id="rId6" w:anchor="bib0045">
        <w:r>
          <w:rPr>
            <w:rFonts w:ascii="EB Garamond" w:eastAsia="EB Garamond" w:hAnsi="EB Garamond" w:cs="EB Garamond"/>
            <w:color w:val="202124"/>
            <w:sz w:val="24"/>
            <w:szCs w:val="24"/>
          </w:rPr>
          <w:t>Heckman et al., 1997</w:t>
        </w:r>
      </w:hyperlink>
      <w:r>
        <w:rPr>
          <w:rFonts w:ascii="EB Garamond" w:eastAsia="EB Garamond" w:hAnsi="EB Garamond" w:cs="EB Garamond"/>
          <w:color w:val="202124"/>
          <w:sz w:val="24"/>
          <w:szCs w:val="24"/>
        </w:rPr>
        <w:t xml:space="preserve">). </w:t>
      </w:r>
    </w:p>
    <w:p w14:paraId="656194A1" w14:textId="77777777" w:rsidR="00DC59DB" w:rsidRDefault="00DC59DB">
      <w:pPr>
        <w:rPr>
          <w:rFonts w:ascii="EB Garamond" w:eastAsia="EB Garamond" w:hAnsi="EB Garamond" w:cs="EB Garamond"/>
          <w:color w:val="202124"/>
          <w:sz w:val="24"/>
          <w:szCs w:val="24"/>
        </w:rPr>
      </w:pPr>
    </w:p>
    <w:p w14:paraId="6B8FCFDC" w14:textId="77777777" w:rsidR="00DC59DB" w:rsidRDefault="00C6355D">
      <w:pPr>
        <w:rPr>
          <w:rFonts w:ascii="EB Garamond" w:eastAsia="EB Garamond" w:hAnsi="EB Garamond" w:cs="EB Garamond"/>
          <w:color w:val="006FB7"/>
          <w:sz w:val="24"/>
          <w:szCs w:val="24"/>
          <w:highlight w:val="white"/>
        </w:rPr>
      </w:pPr>
      <w:r>
        <w:rPr>
          <w:rFonts w:ascii="EB Garamond" w:eastAsia="EB Garamond" w:hAnsi="EB Garamond" w:cs="EB Garamond"/>
          <w:sz w:val="24"/>
          <w:szCs w:val="24"/>
        </w:rPr>
        <w:t>More recent studies are being done about how community characteristics are affected even before a family even goes to see a house. St</w:t>
      </w:r>
      <w:r>
        <w:rPr>
          <w:rFonts w:ascii="EB Garamond" w:eastAsia="EB Garamond" w:hAnsi="EB Garamond" w:cs="EB Garamond"/>
          <w:sz w:val="24"/>
          <w:szCs w:val="24"/>
        </w:rPr>
        <w:t xml:space="preserve">udies such as those conducted </w:t>
      </w:r>
      <w:proofErr w:type="gramStart"/>
      <w:r>
        <w:rPr>
          <w:rFonts w:ascii="EB Garamond" w:eastAsia="EB Garamond" w:hAnsi="EB Garamond" w:cs="EB Garamond"/>
          <w:sz w:val="24"/>
          <w:szCs w:val="24"/>
        </w:rPr>
        <w:t xml:space="preserve">by  </w:t>
      </w:r>
      <w:proofErr w:type="spellStart"/>
      <w:r>
        <w:rPr>
          <w:rFonts w:ascii="EB Garamond" w:eastAsia="EB Garamond" w:hAnsi="EB Garamond" w:cs="EB Garamond"/>
          <w:sz w:val="24"/>
          <w:szCs w:val="24"/>
        </w:rPr>
        <w:t>Bhutta</w:t>
      </w:r>
      <w:proofErr w:type="spellEnd"/>
      <w:proofErr w:type="gramEnd"/>
      <w:r>
        <w:rPr>
          <w:rFonts w:ascii="EB Garamond" w:eastAsia="EB Garamond" w:hAnsi="EB Garamond" w:cs="EB Garamond"/>
          <w:sz w:val="24"/>
          <w:szCs w:val="24"/>
        </w:rPr>
        <w:t xml:space="preserve"> and  </w:t>
      </w:r>
      <w:proofErr w:type="spellStart"/>
      <w:r>
        <w:rPr>
          <w:rFonts w:ascii="EB Garamond" w:eastAsia="EB Garamond" w:hAnsi="EB Garamond" w:cs="EB Garamond"/>
          <w:sz w:val="24"/>
          <w:szCs w:val="24"/>
        </w:rPr>
        <w:t>Hizmo’s</w:t>
      </w:r>
      <w:proofErr w:type="spellEnd"/>
      <w:r>
        <w:rPr>
          <w:rFonts w:ascii="EB Garamond" w:eastAsia="EB Garamond" w:hAnsi="EB Garamond" w:cs="EB Garamond"/>
          <w:sz w:val="24"/>
          <w:szCs w:val="24"/>
        </w:rPr>
        <w:t xml:space="preserve"> (2020) and Bartlett et al. (2019)  report that “</w:t>
      </w:r>
      <w:r>
        <w:rPr>
          <w:rFonts w:ascii="EB Garamond" w:eastAsia="EB Garamond" w:hAnsi="EB Garamond" w:cs="EB Garamond"/>
          <w:color w:val="2A2A2A"/>
          <w:sz w:val="24"/>
          <w:szCs w:val="24"/>
          <w:highlight w:val="white"/>
        </w:rPr>
        <w:t xml:space="preserve">lenders continue to discriminate” and find “ interest rate gaps between minority and white borrowers” </w:t>
      </w:r>
      <w:commentRangeStart w:id="0"/>
      <w:r>
        <w:rPr>
          <w:rFonts w:ascii="EB Garamond" w:eastAsia="EB Garamond" w:hAnsi="EB Garamond" w:cs="EB Garamond"/>
          <w:color w:val="2A2A2A"/>
          <w:sz w:val="24"/>
          <w:szCs w:val="24"/>
          <w:highlight w:val="white"/>
        </w:rPr>
        <w:t xml:space="preserve">(Bartlett et al, 2019). </w:t>
      </w:r>
      <w:commentRangeEnd w:id="0"/>
      <w:r>
        <w:commentReference w:id="0"/>
      </w:r>
    </w:p>
    <w:p w14:paraId="07260FEE" w14:textId="77777777" w:rsidR="00DC59DB" w:rsidRDefault="00DC59DB">
      <w:pPr>
        <w:widowControl w:val="0"/>
        <w:rPr>
          <w:rFonts w:ascii="EB Garamond" w:eastAsia="EB Garamond" w:hAnsi="EB Garamond" w:cs="EB Garamond"/>
          <w:color w:val="006FB7"/>
          <w:sz w:val="24"/>
          <w:szCs w:val="24"/>
          <w:highlight w:val="white"/>
        </w:rPr>
      </w:pPr>
    </w:p>
    <w:p w14:paraId="5A3DCB3E" w14:textId="77777777" w:rsidR="00DC59DB" w:rsidRDefault="00C6355D">
      <w:pPr>
        <w:spacing w:line="360" w:lineRule="auto"/>
        <w:jc w:val="center"/>
        <w:rPr>
          <w:rFonts w:ascii="EB Garamond" w:eastAsia="EB Garamond" w:hAnsi="EB Garamond" w:cs="EB Garamond"/>
          <w:b/>
          <w:color w:val="222222"/>
          <w:sz w:val="24"/>
          <w:szCs w:val="24"/>
        </w:rPr>
      </w:pPr>
      <w:r>
        <w:rPr>
          <w:rFonts w:ascii="EB Garamond" w:eastAsia="EB Garamond" w:hAnsi="EB Garamond" w:cs="EB Garamond"/>
          <w:b/>
          <w:color w:val="222222"/>
          <w:sz w:val="24"/>
          <w:szCs w:val="24"/>
        </w:rPr>
        <w:t>Description Of Data</w:t>
      </w:r>
    </w:p>
    <w:p w14:paraId="0FAAE2B1" w14:textId="77777777" w:rsidR="00DC59DB" w:rsidRDefault="00DC59DB">
      <w:pPr>
        <w:spacing w:line="360" w:lineRule="auto"/>
        <w:rPr>
          <w:rFonts w:ascii="EB Garamond" w:eastAsia="EB Garamond" w:hAnsi="EB Garamond" w:cs="EB Garamond"/>
          <w:color w:val="222222"/>
          <w:sz w:val="24"/>
          <w:szCs w:val="24"/>
        </w:rPr>
      </w:pPr>
    </w:p>
    <w:p w14:paraId="29C7599F" w14:textId="77777777" w:rsidR="00DC59DB" w:rsidRDefault="00C6355D">
      <w:pPr>
        <w:spacing w:line="360" w:lineRule="auto"/>
        <w:ind w:firstLine="720"/>
        <w:rPr>
          <w:rFonts w:ascii="EB Garamond" w:eastAsia="EB Garamond" w:hAnsi="EB Garamond" w:cs="EB Garamond"/>
          <w:color w:val="222222"/>
          <w:sz w:val="24"/>
          <w:szCs w:val="24"/>
        </w:rPr>
      </w:pPr>
      <w:r>
        <w:rPr>
          <w:rFonts w:ascii="EB Garamond" w:eastAsia="EB Garamond" w:hAnsi="EB Garamond" w:cs="EB Garamond"/>
          <w:color w:val="222222"/>
          <w:sz w:val="24"/>
          <w:szCs w:val="24"/>
        </w:rPr>
        <w:t>As previously mentioned, our data was sourced from the FFIEC’s Loan Application Registry for Washington, DC in 2020. The data is compiled annually under t</w:t>
      </w:r>
      <w:r>
        <w:rPr>
          <w:rFonts w:ascii="EB Garamond" w:eastAsia="EB Garamond" w:hAnsi="EB Garamond" w:cs="EB Garamond"/>
          <w:color w:val="202124"/>
          <w:sz w:val="24"/>
          <w:szCs w:val="24"/>
        </w:rPr>
        <w:t xml:space="preserve">he Home Mortgage Disclosure Act (HMDA) with the </w:t>
      </w:r>
      <w:proofErr w:type="gramStart"/>
      <w:r>
        <w:rPr>
          <w:rFonts w:ascii="EB Garamond" w:eastAsia="EB Garamond" w:hAnsi="EB Garamond" w:cs="EB Garamond"/>
          <w:color w:val="202124"/>
          <w:sz w:val="24"/>
          <w:szCs w:val="24"/>
        </w:rPr>
        <w:t>intent  “</w:t>
      </w:r>
      <w:proofErr w:type="gramEnd"/>
      <w:r>
        <w:rPr>
          <w:rFonts w:ascii="EB Garamond" w:eastAsia="EB Garamond" w:hAnsi="EB Garamond" w:cs="EB Garamond"/>
          <w:color w:val="202124"/>
          <w:sz w:val="24"/>
          <w:szCs w:val="24"/>
          <w:highlight w:val="white"/>
        </w:rPr>
        <w:t>to create greater transp</w:t>
      </w:r>
      <w:r>
        <w:rPr>
          <w:rFonts w:ascii="EB Garamond" w:eastAsia="EB Garamond" w:hAnsi="EB Garamond" w:cs="EB Garamond"/>
          <w:color w:val="202124"/>
          <w:sz w:val="24"/>
          <w:szCs w:val="24"/>
          <w:highlight w:val="white"/>
        </w:rPr>
        <w:t xml:space="preserve">arency and to protect borrowers in the residential mortgage market” (citation). </w:t>
      </w:r>
      <w:r>
        <w:rPr>
          <w:rFonts w:ascii="EB Garamond" w:eastAsia="EB Garamond" w:hAnsi="EB Garamond" w:cs="EB Garamond"/>
          <w:color w:val="202124"/>
          <w:sz w:val="24"/>
          <w:szCs w:val="24"/>
        </w:rPr>
        <w:t xml:space="preserve"> The LAR provides extensive information about the lending activities of all US financial institutions </w:t>
      </w:r>
      <w:r>
        <w:rPr>
          <w:rFonts w:ascii="EB Garamond" w:eastAsia="EB Garamond" w:hAnsi="EB Garamond" w:cs="EB Garamond"/>
          <w:color w:val="222222"/>
          <w:sz w:val="24"/>
          <w:szCs w:val="24"/>
        </w:rPr>
        <w:t xml:space="preserve">“...regarding its applications, originations, and purchases of home purchase loans, home improvement loans, and </w:t>
      </w:r>
      <w:proofErr w:type="spellStart"/>
      <w:r>
        <w:rPr>
          <w:rFonts w:ascii="EB Garamond" w:eastAsia="EB Garamond" w:hAnsi="EB Garamond" w:cs="EB Garamond"/>
          <w:color w:val="222222"/>
          <w:sz w:val="24"/>
          <w:szCs w:val="24"/>
        </w:rPr>
        <w:t>refinancings</w:t>
      </w:r>
      <w:proofErr w:type="spellEnd"/>
      <w:r>
        <w:rPr>
          <w:rFonts w:ascii="EB Garamond" w:eastAsia="EB Garamond" w:hAnsi="EB Garamond" w:cs="EB Garamond"/>
          <w:color w:val="222222"/>
          <w:sz w:val="24"/>
          <w:szCs w:val="24"/>
        </w:rPr>
        <w:t xml:space="preserve">” (citation). We </w:t>
      </w:r>
      <w:proofErr w:type="spellStart"/>
      <w:r>
        <w:rPr>
          <w:rFonts w:ascii="EB Garamond" w:eastAsia="EB Garamond" w:hAnsi="EB Garamond" w:cs="EB Garamond"/>
          <w:color w:val="222222"/>
          <w:sz w:val="24"/>
          <w:szCs w:val="24"/>
        </w:rPr>
        <w:t>subsetted</w:t>
      </w:r>
      <w:proofErr w:type="spellEnd"/>
      <w:r>
        <w:rPr>
          <w:rFonts w:ascii="EB Garamond" w:eastAsia="EB Garamond" w:hAnsi="EB Garamond" w:cs="EB Garamond"/>
          <w:color w:val="222222"/>
          <w:sz w:val="24"/>
          <w:szCs w:val="24"/>
        </w:rPr>
        <w:t xml:space="preserve"> this data </w:t>
      </w:r>
      <w:r>
        <w:rPr>
          <w:rFonts w:ascii="EB Garamond" w:eastAsia="EB Garamond" w:hAnsi="EB Garamond" w:cs="EB Garamond"/>
          <w:color w:val="222222"/>
          <w:sz w:val="24"/>
          <w:szCs w:val="24"/>
        </w:rPr>
        <w:lastRenderedPageBreak/>
        <w:t xml:space="preserve">frame to only look at loan information for </w:t>
      </w:r>
      <w:proofErr w:type="spellStart"/>
      <w:r>
        <w:rPr>
          <w:rFonts w:ascii="EB Garamond" w:eastAsia="EB Garamond" w:hAnsi="EB Garamond" w:cs="EB Garamond"/>
          <w:color w:val="222222"/>
          <w:sz w:val="24"/>
          <w:szCs w:val="24"/>
        </w:rPr>
        <w:t>Washinton</w:t>
      </w:r>
      <w:proofErr w:type="spellEnd"/>
      <w:r>
        <w:rPr>
          <w:rFonts w:ascii="EB Garamond" w:eastAsia="EB Garamond" w:hAnsi="EB Garamond" w:cs="EB Garamond"/>
          <w:color w:val="222222"/>
          <w:sz w:val="24"/>
          <w:szCs w:val="24"/>
        </w:rPr>
        <w:t>, DC which gave us just over 58,000 data po</w:t>
      </w:r>
      <w:r>
        <w:rPr>
          <w:rFonts w:ascii="EB Garamond" w:eastAsia="EB Garamond" w:hAnsi="EB Garamond" w:cs="EB Garamond"/>
          <w:color w:val="222222"/>
          <w:sz w:val="24"/>
          <w:szCs w:val="24"/>
        </w:rPr>
        <w:t xml:space="preserve">ints to work with. </w:t>
      </w:r>
    </w:p>
    <w:p w14:paraId="5FC600E0" w14:textId="77777777" w:rsidR="00DC59DB" w:rsidRDefault="00DC59DB">
      <w:pPr>
        <w:widowControl w:val="0"/>
        <w:rPr>
          <w:rFonts w:ascii="EB Garamond" w:eastAsia="EB Garamond" w:hAnsi="EB Garamond" w:cs="EB Garamond"/>
          <w:b/>
          <w:color w:val="202124"/>
          <w:sz w:val="24"/>
          <w:szCs w:val="24"/>
          <w:highlight w:val="white"/>
        </w:rPr>
      </w:pPr>
    </w:p>
    <w:p w14:paraId="4A1C8297" w14:textId="77777777" w:rsidR="00DC59DB" w:rsidRDefault="00C6355D">
      <w:pPr>
        <w:widowControl w:val="0"/>
        <w:jc w:val="center"/>
        <w:rPr>
          <w:rFonts w:ascii="EB Garamond" w:eastAsia="EB Garamond" w:hAnsi="EB Garamond" w:cs="EB Garamond"/>
          <w:color w:val="202124"/>
          <w:sz w:val="24"/>
          <w:szCs w:val="24"/>
          <w:highlight w:val="white"/>
        </w:rPr>
      </w:pPr>
      <w:proofErr w:type="gramStart"/>
      <w:r>
        <w:rPr>
          <w:rFonts w:ascii="EB Garamond" w:eastAsia="EB Garamond" w:hAnsi="EB Garamond" w:cs="EB Garamond"/>
          <w:b/>
          <w:color w:val="202124"/>
          <w:sz w:val="24"/>
          <w:szCs w:val="24"/>
          <w:highlight w:val="white"/>
        </w:rPr>
        <w:t>Preparing  The</w:t>
      </w:r>
      <w:proofErr w:type="gramEnd"/>
      <w:r>
        <w:rPr>
          <w:rFonts w:ascii="EB Garamond" w:eastAsia="EB Garamond" w:hAnsi="EB Garamond" w:cs="EB Garamond"/>
          <w:b/>
          <w:color w:val="202124"/>
          <w:sz w:val="24"/>
          <w:szCs w:val="24"/>
          <w:highlight w:val="white"/>
        </w:rPr>
        <w:t xml:space="preserve"> Data</w:t>
      </w:r>
    </w:p>
    <w:p w14:paraId="42CAC64E" w14:textId="77777777" w:rsidR="00DC59DB" w:rsidRDefault="00DC59DB">
      <w:pPr>
        <w:widowControl w:val="0"/>
        <w:rPr>
          <w:rFonts w:ascii="EB Garamond" w:eastAsia="EB Garamond" w:hAnsi="EB Garamond" w:cs="EB Garamond"/>
          <w:color w:val="202124"/>
          <w:sz w:val="24"/>
          <w:szCs w:val="24"/>
          <w:highlight w:val="white"/>
        </w:rPr>
      </w:pPr>
    </w:p>
    <w:p w14:paraId="782663F1" w14:textId="77777777" w:rsidR="00DC59DB" w:rsidRDefault="00C6355D">
      <w:pPr>
        <w:widowControl w:val="0"/>
        <w:rPr>
          <w:rFonts w:ascii="EB Garamond" w:eastAsia="EB Garamond" w:hAnsi="EB Garamond" w:cs="EB Garamond"/>
          <w:color w:val="202124"/>
          <w:sz w:val="24"/>
          <w:szCs w:val="24"/>
          <w:highlight w:val="white"/>
        </w:rPr>
      </w:pPr>
      <w:r>
        <w:rPr>
          <w:rFonts w:ascii="EB Garamond" w:eastAsia="EB Garamond" w:hAnsi="EB Garamond" w:cs="EB Garamond"/>
          <w:color w:val="202124"/>
          <w:sz w:val="24"/>
          <w:szCs w:val="24"/>
          <w:highlight w:val="white"/>
        </w:rPr>
        <w:t xml:space="preserve">We divided our data into two data frames, titled overcharged and property value </w:t>
      </w:r>
    </w:p>
    <w:tbl>
      <w:tblPr>
        <w:tblStyle w:val="a"/>
        <w:tblW w:w="9360" w:type="dxa"/>
        <w:tblLayout w:type="fixed"/>
        <w:tblLook w:val="0600" w:firstRow="0" w:lastRow="0" w:firstColumn="0" w:lastColumn="0" w:noHBand="1" w:noVBand="1"/>
      </w:tblPr>
      <w:tblGrid>
        <w:gridCol w:w="4680"/>
        <w:gridCol w:w="4680"/>
      </w:tblGrid>
      <w:tr w:rsidR="00DC59DB" w14:paraId="41AC19EE" w14:textId="77777777">
        <w:tc>
          <w:tcPr>
            <w:tcW w:w="4680" w:type="dxa"/>
            <w:shd w:val="clear" w:color="auto" w:fill="auto"/>
            <w:tcMar>
              <w:top w:w="100" w:type="dxa"/>
              <w:left w:w="100" w:type="dxa"/>
              <w:bottom w:w="100" w:type="dxa"/>
              <w:right w:w="100" w:type="dxa"/>
            </w:tcMar>
          </w:tcPr>
          <w:p w14:paraId="73D50AEF" w14:textId="77777777" w:rsidR="00DC59DB" w:rsidRDefault="00DC59DB">
            <w:pPr>
              <w:widowControl w:val="0"/>
              <w:pBdr>
                <w:top w:val="nil"/>
                <w:left w:val="nil"/>
                <w:bottom w:val="nil"/>
                <w:right w:val="nil"/>
                <w:between w:val="nil"/>
              </w:pBdr>
              <w:spacing w:line="240" w:lineRule="auto"/>
              <w:rPr>
                <w:rFonts w:ascii="EB Garamond" w:eastAsia="EB Garamond" w:hAnsi="EB Garamond" w:cs="EB Garamond"/>
                <w:color w:val="202124"/>
                <w:sz w:val="24"/>
                <w:szCs w:val="24"/>
                <w:highlight w:val="white"/>
              </w:rPr>
            </w:pPr>
          </w:p>
          <w:tbl>
            <w:tblPr>
              <w:tblStyle w:val="a0"/>
              <w:tblW w:w="4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80"/>
            </w:tblGrid>
            <w:tr w:rsidR="00DC59DB" w14:paraId="6B6B25CE" w14:textId="77777777">
              <w:tc>
                <w:tcPr>
                  <w:tcW w:w="4480" w:type="dxa"/>
                  <w:tcBorders>
                    <w:top w:val="nil"/>
                    <w:left w:val="nil"/>
                    <w:bottom w:val="single" w:sz="12" w:space="0" w:color="666666"/>
                    <w:right w:val="nil"/>
                  </w:tcBorders>
                  <w:shd w:val="clear" w:color="auto" w:fill="FFFFFF"/>
                  <w:tcMar>
                    <w:top w:w="100" w:type="dxa"/>
                    <w:left w:w="100" w:type="dxa"/>
                    <w:bottom w:w="100" w:type="dxa"/>
                    <w:right w:w="100" w:type="dxa"/>
                  </w:tcMar>
                </w:tcPr>
                <w:p w14:paraId="4F1172BA" w14:textId="77777777" w:rsidR="00DC59DB" w:rsidRDefault="00C6355D">
                  <w:pPr>
                    <w:widowControl w:val="0"/>
                    <w:spacing w:line="360" w:lineRule="auto"/>
                    <w:jc w:val="center"/>
                    <w:rPr>
                      <w:rFonts w:ascii="Bookman Old Style" w:eastAsia="Bookman Old Style" w:hAnsi="Bookman Old Style" w:cs="Bookman Old Style"/>
                      <w:b/>
                      <w:color w:val="202124"/>
                      <w:sz w:val="24"/>
                      <w:szCs w:val="24"/>
                      <w:highlight w:val="white"/>
                    </w:rPr>
                  </w:pPr>
                  <w:r>
                    <w:rPr>
                      <w:rFonts w:ascii="Bookman Old Style" w:eastAsia="Bookman Old Style" w:hAnsi="Bookman Old Style" w:cs="Bookman Old Style"/>
                      <w:b/>
                      <w:color w:val="202124"/>
                      <w:sz w:val="24"/>
                      <w:szCs w:val="24"/>
                      <w:highlight w:val="white"/>
                    </w:rPr>
                    <w:t>Property Value</w:t>
                  </w:r>
                </w:p>
              </w:tc>
            </w:tr>
            <w:tr w:rsidR="00DC59DB" w14:paraId="073C1BF8" w14:textId="77777777">
              <w:tc>
                <w:tcPr>
                  <w:tcW w:w="4480" w:type="dxa"/>
                  <w:tcBorders>
                    <w:top w:val="nil"/>
                    <w:left w:val="nil"/>
                    <w:bottom w:val="single" w:sz="8" w:space="0" w:color="666666"/>
                    <w:right w:val="nil"/>
                  </w:tcBorders>
                  <w:shd w:val="clear" w:color="auto" w:fill="CCCCCC"/>
                  <w:tcMar>
                    <w:top w:w="100" w:type="dxa"/>
                    <w:left w:w="100" w:type="dxa"/>
                    <w:bottom w:w="100" w:type="dxa"/>
                    <w:right w:w="100" w:type="dxa"/>
                  </w:tcMar>
                </w:tcPr>
                <w:p w14:paraId="089640AF" w14:textId="77777777" w:rsidR="00DC59DB" w:rsidRDefault="00C6355D">
                  <w:pPr>
                    <w:widowControl w:val="0"/>
                    <w:spacing w:line="240" w:lineRule="auto"/>
                    <w:jc w:val="center"/>
                    <w:rPr>
                      <w:rFonts w:ascii="Bookman Old Style" w:eastAsia="Bookman Old Style" w:hAnsi="Bookman Old Style" w:cs="Bookman Old Style"/>
                      <w:color w:val="202124"/>
                      <w:sz w:val="24"/>
                      <w:szCs w:val="24"/>
                    </w:rPr>
                  </w:pPr>
                  <w:r>
                    <w:rPr>
                      <w:rFonts w:ascii="Bookman Old Style" w:eastAsia="Bookman Old Style" w:hAnsi="Bookman Old Style" w:cs="Bookman Old Style"/>
                      <w:color w:val="202124"/>
                      <w:sz w:val="24"/>
                      <w:szCs w:val="24"/>
                    </w:rPr>
                    <w:t xml:space="preserve"> Property Value</w:t>
                  </w:r>
                </w:p>
              </w:tc>
            </w:tr>
            <w:tr w:rsidR="00DC59DB" w14:paraId="18533603" w14:textId="77777777">
              <w:tc>
                <w:tcPr>
                  <w:tcW w:w="4480" w:type="dxa"/>
                  <w:tcBorders>
                    <w:top w:val="nil"/>
                    <w:left w:val="nil"/>
                    <w:bottom w:val="single" w:sz="8" w:space="0" w:color="666666"/>
                    <w:right w:val="nil"/>
                  </w:tcBorders>
                  <w:tcMar>
                    <w:top w:w="100" w:type="dxa"/>
                    <w:left w:w="100" w:type="dxa"/>
                    <w:bottom w:w="100" w:type="dxa"/>
                    <w:right w:w="100" w:type="dxa"/>
                  </w:tcMar>
                </w:tcPr>
                <w:p w14:paraId="2809BAE2" w14:textId="77777777" w:rsidR="00DC59DB" w:rsidRDefault="00C6355D">
                  <w:pPr>
                    <w:widowControl w:val="0"/>
                    <w:spacing w:line="240" w:lineRule="auto"/>
                    <w:jc w:val="center"/>
                    <w:rPr>
                      <w:rFonts w:ascii="Bookman Old Style" w:eastAsia="Bookman Old Style" w:hAnsi="Bookman Old Style" w:cs="Bookman Old Style"/>
                      <w:color w:val="202124"/>
                      <w:sz w:val="24"/>
                      <w:szCs w:val="24"/>
                    </w:rPr>
                  </w:pPr>
                  <w:r>
                    <w:rPr>
                      <w:rFonts w:ascii="Bookman Old Style" w:eastAsia="Bookman Old Style" w:hAnsi="Bookman Old Style" w:cs="Bookman Old Style"/>
                      <w:color w:val="202124"/>
                      <w:sz w:val="24"/>
                      <w:szCs w:val="24"/>
                    </w:rPr>
                    <w:t>Dwelling Category</w:t>
                  </w:r>
                </w:p>
              </w:tc>
            </w:tr>
            <w:tr w:rsidR="00DC59DB" w14:paraId="3775812E" w14:textId="77777777">
              <w:tc>
                <w:tcPr>
                  <w:tcW w:w="4480" w:type="dxa"/>
                  <w:tcBorders>
                    <w:top w:val="nil"/>
                    <w:left w:val="nil"/>
                    <w:bottom w:val="single" w:sz="8" w:space="0" w:color="666666"/>
                    <w:right w:val="nil"/>
                  </w:tcBorders>
                  <w:shd w:val="clear" w:color="auto" w:fill="CCCCCC"/>
                  <w:tcMar>
                    <w:top w:w="100" w:type="dxa"/>
                    <w:left w:w="100" w:type="dxa"/>
                    <w:bottom w:w="100" w:type="dxa"/>
                    <w:right w:w="100" w:type="dxa"/>
                  </w:tcMar>
                </w:tcPr>
                <w:p w14:paraId="4B4BD69F" w14:textId="77777777" w:rsidR="00DC59DB" w:rsidRDefault="00C6355D">
                  <w:pPr>
                    <w:widowControl w:val="0"/>
                    <w:spacing w:line="240" w:lineRule="auto"/>
                    <w:jc w:val="center"/>
                    <w:rPr>
                      <w:rFonts w:ascii="Bookman Old Style" w:eastAsia="Bookman Old Style" w:hAnsi="Bookman Old Style" w:cs="Bookman Old Style"/>
                      <w:color w:val="202124"/>
                      <w:sz w:val="24"/>
                      <w:szCs w:val="24"/>
                    </w:rPr>
                  </w:pPr>
                  <w:r>
                    <w:rPr>
                      <w:rFonts w:ascii="Bookman Old Style" w:eastAsia="Bookman Old Style" w:hAnsi="Bookman Old Style" w:cs="Bookman Old Style"/>
                      <w:color w:val="202124"/>
                      <w:sz w:val="24"/>
                      <w:szCs w:val="24"/>
                    </w:rPr>
                    <w:t>Construction Method</w:t>
                  </w:r>
                </w:p>
              </w:tc>
            </w:tr>
            <w:tr w:rsidR="00DC59DB" w14:paraId="6A93DB4C" w14:textId="77777777">
              <w:tc>
                <w:tcPr>
                  <w:tcW w:w="4480" w:type="dxa"/>
                  <w:tcBorders>
                    <w:top w:val="nil"/>
                    <w:left w:val="nil"/>
                    <w:bottom w:val="single" w:sz="8" w:space="0" w:color="666666"/>
                    <w:right w:val="nil"/>
                  </w:tcBorders>
                  <w:tcMar>
                    <w:top w:w="100" w:type="dxa"/>
                    <w:left w:w="100" w:type="dxa"/>
                    <w:bottom w:w="100" w:type="dxa"/>
                    <w:right w:w="100" w:type="dxa"/>
                  </w:tcMar>
                </w:tcPr>
                <w:p w14:paraId="31E99F5F" w14:textId="77777777" w:rsidR="00DC59DB" w:rsidRDefault="00C6355D">
                  <w:pPr>
                    <w:widowControl w:val="0"/>
                    <w:spacing w:line="240" w:lineRule="auto"/>
                    <w:jc w:val="center"/>
                    <w:rPr>
                      <w:rFonts w:ascii="Bookman Old Style" w:eastAsia="Bookman Old Style" w:hAnsi="Bookman Old Style" w:cs="Bookman Old Style"/>
                      <w:color w:val="202124"/>
                      <w:sz w:val="24"/>
                      <w:szCs w:val="24"/>
                    </w:rPr>
                  </w:pPr>
                  <w:r>
                    <w:rPr>
                      <w:rFonts w:ascii="Bookman Old Style" w:eastAsia="Bookman Old Style" w:hAnsi="Bookman Old Style" w:cs="Bookman Old Style"/>
                      <w:color w:val="202124"/>
                      <w:sz w:val="24"/>
                      <w:szCs w:val="24"/>
                    </w:rPr>
                    <w:t>Total Units</w:t>
                  </w:r>
                </w:p>
              </w:tc>
            </w:tr>
            <w:tr w:rsidR="00DC59DB" w14:paraId="4AAE67B2" w14:textId="77777777">
              <w:tc>
                <w:tcPr>
                  <w:tcW w:w="4480" w:type="dxa"/>
                  <w:tcBorders>
                    <w:top w:val="nil"/>
                    <w:left w:val="nil"/>
                    <w:bottom w:val="single" w:sz="8" w:space="0" w:color="666666"/>
                    <w:right w:val="nil"/>
                  </w:tcBorders>
                  <w:shd w:val="clear" w:color="auto" w:fill="CCCCCC"/>
                  <w:tcMar>
                    <w:top w:w="100" w:type="dxa"/>
                    <w:left w:w="100" w:type="dxa"/>
                    <w:bottom w:w="100" w:type="dxa"/>
                    <w:right w:w="100" w:type="dxa"/>
                  </w:tcMar>
                </w:tcPr>
                <w:p w14:paraId="4550E001" w14:textId="77777777" w:rsidR="00DC59DB" w:rsidRDefault="00C6355D">
                  <w:pPr>
                    <w:widowControl w:val="0"/>
                    <w:spacing w:line="240" w:lineRule="auto"/>
                    <w:jc w:val="center"/>
                    <w:rPr>
                      <w:rFonts w:ascii="Bookman Old Style" w:eastAsia="Bookman Old Style" w:hAnsi="Bookman Old Style" w:cs="Bookman Old Style"/>
                      <w:color w:val="202124"/>
                      <w:sz w:val="24"/>
                      <w:szCs w:val="24"/>
                    </w:rPr>
                  </w:pPr>
                  <w:r>
                    <w:rPr>
                      <w:rFonts w:ascii="Bookman Old Style" w:eastAsia="Bookman Old Style" w:hAnsi="Bookman Old Style" w:cs="Bookman Old Style"/>
                      <w:color w:val="202124"/>
                      <w:sz w:val="24"/>
                      <w:szCs w:val="24"/>
                    </w:rPr>
                    <w:t>Interest Rate</w:t>
                  </w:r>
                </w:p>
              </w:tc>
            </w:tr>
            <w:tr w:rsidR="00DC59DB" w14:paraId="1411D6C5" w14:textId="77777777">
              <w:tc>
                <w:tcPr>
                  <w:tcW w:w="4480" w:type="dxa"/>
                  <w:tcBorders>
                    <w:top w:val="nil"/>
                    <w:left w:val="nil"/>
                    <w:bottom w:val="single" w:sz="8" w:space="0" w:color="666666"/>
                    <w:right w:val="nil"/>
                  </w:tcBorders>
                  <w:tcMar>
                    <w:top w:w="100" w:type="dxa"/>
                    <w:left w:w="100" w:type="dxa"/>
                    <w:bottom w:w="100" w:type="dxa"/>
                    <w:right w:w="100" w:type="dxa"/>
                  </w:tcMar>
                </w:tcPr>
                <w:p w14:paraId="1FCCEFA2" w14:textId="77777777" w:rsidR="00DC59DB" w:rsidRDefault="00C6355D">
                  <w:pPr>
                    <w:widowControl w:val="0"/>
                    <w:spacing w:line="240" w:lineRule="auto"/>
                    <w:jc w:val="center"/>
                    <w:rPr>
                      <w:rFonts w:ascii="Bookman Old Style" w:eastAsia="Bookman Old Style" w:hAnsi="Bookman Old Style" w:cs="Bookman Old Style"/>
                      <w:color w:val="202124"/>
                      <w:sz w:val="24"/>
                      <w:szCs w:val="24"/>
                    </w:rPr>
                  </w:pPr>
                  <w:r>
                    <w:rPr>
                      <w:rFonts w:ascii="Bookman Old Style" w:eastAsia="Bookman Old Style" w:hAnsi="Bookman Old Style" w:cs="Bookman Old Style"/>
                      <w:color w:val="202124"/>
                      <w:sz w:val="24"/>
                      <w:szCs w:val="24"/>
                    </w:rPr>
                    <w:t>Population</w:t>
                  </w:r>
                </w:p>
              </w:tc>
            </w:tr>
            <w:tr w:rsidR="00DC59DB" w14:paraId="58B9E60D" w14:textId="77777777">
              <w:tc>
                <w:tcPr>
                  <w:tcW w:w="4480" w:type="dxa"/>
                  <w:tcBorders>
                    <w:top w:val="nil"/>
                    <w:left w:val="nil"/>
                    <w:bottom w:val="single" w:sz="8" w:space="0" w:color="666666"/>
                    <w:right w:val="nil"/>
                  </w:tcBorders>
                  <w:shd w:val="clear" w:color="auto" w:fill="CCCCCC"/>
                  <w:tcMar>
                    <w:top w:w="100" w:type="dxa"/>
                    <w:left w:w="100" w:type="dxa"/>
                    <w:bottom w:w="100" w:type="dxa"/>
                    <w:right w:w="100" w:type="dxa"/>
                  </w:tcMar>
                </w:tcPr>
                <w:p w14:paraId="0B6910E5" w14:textId="77777777" w:rsidR="00DC59DB" w:rsidRDefault="00C6355D">
                  <w:pPr>
                    <w:widowControl w:val="0"/>
                    <w:spacing w:line="240" w:lineRule="auto"/>
                    <w:jc w:val="center"/>
                    <w:rPr>
                      <w:rFonts w:ascii="Bookman Old Style" w:eastAsia="Bookman Old Style" w:hAnsi="Bookman Old Style" w:cs="Bookman Old Style"/>
                      <w:color w:val="202124"/>
                      <w:sz w:val="24"/>
                      <w:szCs w:val="24"/>
                    </w:rPr>
                  </w:pPr>
                  <w:r>
                    <w:rPr>
                      <w:rFonts w:ascii="Bookman Old Style" w:eastAsia="Bookman Old Style" w:hAnsi="Bookman Old Style" w:cs="Bookman Old Style"/>
                      <w:color w:val="202124"/>
                      <w:sz w:val="24"/>
                      <w:szCs w:val="24"/>
                    </w:rPr>
                    <w:t>% Minority Population</w:t>
                  </w:r>
                </w:p>
              </w:tc>
            </w:tr>
            <w:tr w:rsidR="00DC59DB" w14:paraId="2423BCC5" w14:textId="77777777">
              <w:tc>
                <w:tcPr>
                  <w:tcW w:w="4480" w:type="dxa"/>
                  <w:tcBorders>
                    <w:top w:val="nil"/>
                    <w:left w:val="nil"/>
                    <w:bottom w:val="single" w:sz="8" w:space="0" w:color="666666"/>
                    <w:right w:val="nil"/>
                  </w:tcBorders>
                  <w:tcMar>
                    <w:top w:w="100" w:type="dxa"/>
                    <w:left w:w="100" w:type="dxa"/>
                    <w:bottom w:w="100" w:type="dxa"/>
                    <w:right w:w="100" w:type="dxa"/>
                  </w:tcMar>
                </w:tcPr>
                <w:p w14:paraId="6EBB57C9" w14:textId="77777777" w:rsidR="00DC59DB" w:rsidRDefault="00C6355D">
                  <w:pPr>
                    <w:widowControl w:val="0"/>
                    <w:spacing w:line="240" w:lineRule="auto"/>
                    <w:jc w:val="center"/>
                    <w:rPr>
                      <w:rFonts w:ascii="Bookman Old Style" w:eastAsia="Bookman Old Style" w:hAnsi="Bookman Old Style" w:cs="Bookman Old Style"/>
                      <w:color w:val="202124"/>
                      <w:sz w:val="24"/>
                      <w:szCs w:val="24"/>
                    </w:rPr>
                  </w:pPr>
                  <w:r>
                    <w:rPr>
                      <w:rFonts w:ascii="Bookman Old Style" w:eastAsia="Bookman Old Style" w:hAnsi="Bookman Old Style" w:cs="Bookman Old Style"/>
                      <w:color w:val="202124"/>
                      <w:sz w:val="24"/>
                      <w:szCs w:val="24"/>
                    </w:rPr>
                    <w:t>Median Family Income</w:t>
                  </w:r>
                </w:p>
              </w:tc>
            </w:tr>
            <w:tr w:rsidR="00DC59DB" w14:paraId="4941C8C8" w14:textId="77777777">
              <w:tc>
                <w:tcPr>
                  <w:tcW w:w="4480" w:type="dxa"/>
                  <w:tcBorders>
                    <w:top w:val="nil"/>
                    <w:left w:val="nil"/>
                    <w:bottom w:val="single" w:sz="8" w:space="0" w:color="666666"/>
                    <w:right w:val="nil"/>
                  </w:tcBorders>
                  <w:shd w:val="clear" w:color="auto" w:fill="CCCCCC"/>
                  <w:tcMar>
                    <w:top w:w="100" w:type="dxa"/>
                    <w:left w:w="100" w:type="dxa"/>
                    <w:bottom w:w="100" w:type="dxa"/>
                    <w:right w:w="100" w:type="dxa"/>
                  </w:tcMar>
                </w:tcPr>
                <w:p w14:paraId="0A0DAA0F" w14:textId="77777777" w:rsidR="00DC59DB" w:rsidRDefault="00C6355D">
                  <w:pPr>
                    <w:widowControl w:val="0"/>
                    <w:spacing w:line="240" w:lineRule="auto"/>
                    <w:jc w:val="center"/>
                    <w:rPr>
                      <w:rFonts w:ascii="Bookman Old Style" w:eastAsia="Bookman Old Style" w:hAnsi="Bookman Old Style" w:cs="Bookman Old Style"/>
                      <w:color w:val="202124"/>
                      <w:sz w:val="24"/>
                      <w:szCs w:val="24"/>
                    </w:rPr>
                  </w:pPr>
                  <w:r>
                    <w:rPr>
                      <w:rFonts w:ascii="Bookman Old Style" w:eastAsia="Bookman Old Style" w:hAnsi="Bookman Old Style" w:cs="Bookman Old Style"/>
                      <w:color w:val="202124"/>
                      <w:sz w:val="24"/>
                      <w:szCs w:val="24"/>
                    </w:rPr>
                    <w:t>Owner Occupied Units</w:t>
                  </w:r>
                </w:p>
              </w:tc>
            </w:tr>
            <w:tr w:rsidR="00DC59DB" w14:paraId="21B530FC" w14:textId="77777777">
              <w:tc>
                <w:tcPr>
                  <w:tcW w:w="4480" w:type="dxa"/>
                  <w:tcBorders>
                    <w:top w:val="nil"/>
                    <w:left w:val="nil"/>
                    <w:bottom w:val="single" w:sz="8" w:space="0" w:color="666666"/>
                    <w:right w:val="nil"/>
                  </w:tcBorders>
                  <w:tcMar>
                    <w:top w:w="100" w:type="dxa"/>
                    <w:left w:w="100" w:type="dxa"/>
                    <w:bottom w:w="100" w:type="dxa"/>
                    <w:right w:w="100" w:type="dxa"/>
                  </w:tcMar>
                </w:tcPr>
                <w:p w14:paraId="7BC0777F" w14:textId="77777777" w:rsidR="00DC59DB" w:rsidRDefault="00C6355D">
                  <w:pPr>
                    <w:widowControl w:val="0"/>
                    <w:spacing w:line="240" w:lineRule="auto"/>
                    <w:jc w:val="center"/>
                    <w:rPr>
                      <w:rFonts w:ascii="Bookman Old Style" w:eastAsia="Bookman Old Style" w:hAnsi="Bookman Old Style" w:cs="Bookman Old Style"/>
                      <w:color w:val="202124"/>
                      <w:sz w:val="24"/>
                      <w:szCs w:val="24"/>
                    </w:rPr>
                  </w:pPr>
                  <w:r>
                    <w:rPr>
                      <w:rFonts w:ascii="Bookman Old Style" w:eastAsia="Bookman Old Style" w:hAnsi="Bookman Old Style" w:cs="Bookman Old Style"/>
                      <w:color w:val="202124"/>
                      <w:sz w:val="24"/>
                      <w:szCs w:val="24"/>
                      <w:highlight w:val="white"/>
                    </w:rPr>
                    <w:t>1-to-4 Family Homes</w:t>
                  </w:r>
                </w:p>
              </w:tc>
            </w:tr>
            <w:tr w:rsidR="00DC59DB" w14:paraId="07690FB7" w14:textId="77777777">
              <w:tc>
                <w:tcPr>
                  <w:tcW w:w="4480" w:type="dxa"/>
                  <w:tcBorders>
                    <w:top w:val="nil"/>
                    <w:left w:val="nil"/>
                    <w:bottom w:val="single" w:sz="8" w:space="0" w:color="666666"/>
                    <w:right w:val="nil"/>
                  </w:tcBorders>
                  <w:shd w:val="clear" w:color="auto" w:fill="CCCCCC"/>
                  <w:tcMar>
                    <w:top w:w="100" w:type="dxa"/>
                    <w:left w:w="100" w:type="dxa"/>
                    <w:bottom w:w="100" w:type="dxa"/>
                    <w:right w:w="100" w:type="dxa"/>
                  </w:tcMar>
                </w:tcPr>
                <w:p w14:paraId="3F24F21D" w14:textId="77777777" w:rsidR="00DC59DB" w:rsidRDefault="00C6355D">
                  <w:pPr>
                    <w:widowControl w:val="0"/>
                    <w:spacing w:line="240" w:lineRule="auto"/>
                    <w:jc w:val="center"/>
                    <w:rPr>
                      <w:rFonts w:ascii="Bookman Old Style" w:eastAsia="Bookman Old Style" w:hAnsi="Bookman Old Style" w:cs="Bookman Old Style"/>
                      <w:color w:val="202124"/>
                      <w:sz w:val="24"/>
                      <w:szCs w:val="24"/>
                    </w:rPr>
                  </w:pPr>
                  <w:r>
                    <w:rPr>
                      <w:rFonts w:ascii="Bookman Old Style" w:eastAsia="Bookman Old Style" w:hAnsi="Bookman Old Style" w:cs="Bookman Old Style"/>
                      <w:color w:val="202124"/>
                      <w:sz w:val="24"/>
                      <w:szCs w:val="24"/>
                    </w:rPr>
                    <w:t>Median Age of Housing Units</w:t>
                  </w:r>
                </w:p>
              </w:tc>
            </w:tr>
          </w:tbl>
          <w:p w14:paraId="648C9667" w14:textId="77777777" w:rsidR="00DC59DB" w:rsidRDefault="00DC59DB">
            <w:pPr>
              <w:widowControl w:val="0"/>
              <w:pBdr>
                <w:top w:val="nil"/>
                <w:left w:val="nil"/>
                <w:bottom w:val="nil"/>
                <w:right w:val="nil"/>
                <w:between w:val="nil"/>
              </w:pBdr>
              <w:spacing w:line="240" w:lineRule="auto"/>
              <w:rPr>
                <w:rFonts w:ascii="EB Garamond" w:eastAsia="EB Garamond" w:hAnsi="EB Garamond" w:cs="EB Garamond"/>
                <w:color w:val="202124"/>
                <w:sz w:val="24"/>
                <w:szCs w:val="24"/>
                <w:highlight w:val="white"/>
              </w:rPr>
            </w:pPr>
          </w:p>
        </w:tc>
        <w:tc>
          <w:tcPr>
            <w:tcW w:w="4680" w:type="dxa"/>
            <w:shd w:val="clear" w:color="auto" w:fill="auto"/>
            <w:tcMar>
              <w:top w:w="100" w:type="dxa"/>
              <w:left w:w="100" w:type="dxa"/>
              <w:bottom w:w="100" w:type="dxa"/>
              <w:right w:w="100" w:type="dxa"/>
            </w:tcMar>
          </w:tcPr>
          <w:p w14:paraId="0072CCBB" w14:textId="77777777" w:rsidR="00DC59DB" w:rsidRDefault="00DC59DB">
            <w:pPr>
              <w:widowControl w:val="0"/>
              <w:pBdr>
                <w:top w:val="nil"/>
                <w:left w:val="nil"/>
                <w:bottom w:val="nil"/>
                <w:right w:val="nil"/>
                <w:between w:val="nil"/>
              </w:pBdr>
              <w:spacing w:line="240" w:lineRule="auto"/>
              <w:rPr>
                <w:rFonts w:ascii="EB Garamond" w:eastAsia="EB Garamond" w:hAnsi="EB Garamond" w:cs="EB Garamond"/>
                <w:color w:val="202124"/>
                <w:sz w:val="24"/>
                <w:szCs w:val="24"/>
                <w:highlight w:val="white"/>
              </w:rPr>
            </w:pPr>
          </w:p>
          <w:tbl>
            <w:tblPr>
              <w:tblStyle w:val="a1"/>
              <w:tblW w:w="4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80"/>
            </w:tblGrid>
            <w:tr w:rsidR="00DC59DB" w14:paraId="5360EBB6" w14:textId="77777777">
              <w:trPr>
                <w:trHeight w:val="482"/>
              </w:trPr>
              <w:tc>
                <w:tcPr>
                  <w:tcW w:w="4480" w:type="dxa"/>
                  <w:tcBorders>
                    <w:top w:val="nil"/>
                    <w:left w:val="nil"/>
                    <w:bottom w:val="single" w:sz="12" w:space="0" w:color="666666"/>
                    <w:right w:val="nil"/>
                  </w:tcBorders>
                  <w:shd w:val="clear" w:color="auto" w:fill="FFFFFF"/>
                  <w:tcMar>
                    <w:top w:w="100" w:type="dxa"/>
                    <w:left w:w="100" w:type="dxa"/>
                    <w:bottom w:w="100" w:type="dxa"/>
                    <w:right w:w="100" w:type="dxa"/>
                  </w:tcMar>
                </w:tcPr>
                <w:p w14:paraId="4F24D735" w14:textId="77777777" w:rsidR="00DC59DB" w:rsidRDefault="00C6355D">
                  <w:pPr>
                    <w:widowControl w:val="0"/>
                    <w:spacing w:after="240" w:line="240" w:lineRule="auto"/>
                    <w:jc w:val="center"/>
                    <w:rPr>
                      <w:rFonts w:ascii="Bookman Old Style" w:eastAsia="Bookman Old Style" w:hAnsi="Bookman Old Style" w:cs="Bookman Old Style"/>
                      <w:b/>
                      <w:color w:val="1A202C"/>
                      <w:sz w:val="24"/>
                      <w:szCs w:val="24"/>
                    </w:rPr>
                  </w:pPr>
                  <w:r>
                    <w:rPr>
                      <w:rFonts w:ascii="Bookman Old Style" w:eastAsia="Bookman Old Style" w:hAnsi="Bookman Old Style" w:cs="Bookman Old Style"/>
                      <w:b/>
                      <w:color w:val="1A202C"/>
                      <w:sz w:val="24"/>
                      <w:szCs w:val="24"/>
                    </w:rPr>
                    <w:t>Overcharged</w:t>
                  </w:r>
                </w:p>
              </w:tc>
            </w:tr>
            <w:tr w:rsidR="00DC59DB" w14:paraId="4B09BFBB" w14:textId="77777777">
              <w:tc>
                <w:tcPr>
                  <w:tcW w:w="4480" w:type="dxa"/>
                  <w:tcBorders>
                    <w:top w:val="nil"/>
                    <w:left w:val="nil"/>
                    <w:bottom w:val="single" w:sz="8" w:space="0" w:color="666666"/>
                    <w:right w:val="nil"/>
                  </w:tcBorders>
                  <w:shd w:val="clear" w:color="auto" w:fill="CCCCCC"/>
                  <w:tcMar>
                    <w:top w:w="100" w:type="dxa"/>
                    <w:left w:w="100" w:type="dxa"/>
                    <w:bottom w:w="100" w:type="dxa"/>
                    <w:right w:w="100" w:type="dxa"/>
                  </w:tcMar>
                </w:tcPr>
                <w:p w14:paraId="483F9A28" w14:textId="77777777" w:rsidR="00DC59DB" w:rsidRDefault="00C6355D">
                  <w:pPr>
                    <w:widowControl w:val="0"/>
                    <w:spacing w:line="240" w:lineRule="auto"/>
                    <w:jc w:val="center"/>
                    <w:rPr>
                      <w:rFonts w:ascii="Bookman Old Style" w:eastAsia="Bookman Old Style" w:hAnsi="Bookman Old Style" w:cs="Bookman Old Style"/>
                      <w:color w:val="1A202C"/>
                      <w:sz w:val="24"/>
                      <w:szCs w:val="24"/>
                    </w:rPr>
                  </w:pPr>
                  <w:r>
                    <w:rPr>
                      <w:rFonts w:ascii="Bookman Old Style" w:eastAsia="Bookman Old Style" w:hAnsi="Bookman Old Style" w:cs="Bookman Old Style"/>
                      <w:color w:val="1A202C"/>
                      <w:sz w:val="24"/>
                      <w:szCs w:val="24"/>
                    </w:rPr>
                    <w:t>Total Loan Costs</w:t>
                  </w:r>
                </w:p>
              </w:tc>
            </w:tr>
            <w:tr w:rsidR="00DC59DB" w14:paraId="27BED7FE" w14:textId="77777777">
              <w:tc>
                <w:tcPr>
                  <w:tcW w:w="4480" w:type="dxa"/>
                  <w:tcBorders>
                    <w:top w:val="nil"/>
                    <w:left w:val="nil"/>
                    <w:bottom w:val="single" w:sz="8" w:space="0" w:color="666666"/>
                    <w:right w:val="nil"/>
                  </w:tcBorders>
                  <w:tcMar>
                    <w:top w:w="100" w:type="dxa"/>
                    <w:left w:w="100" w:type="dxa"/>
                    <w:bottom w:w="100" w:type="dxa"/>
                    <w:right w:w="100" w:type="dxa"/>
                  </w:tcMar>
                </w:tcPr>
                <w:p w14:paraId="500D428C" w14:textId="77777777" w:rsidR="00DC59DB" w:rsidRDefault="00C6355D">
                  <w:pPr>
                    <w:widowControl w:val="0"/>
                    <w:spacing w:line="240" w:lineRule="auto"/>
                    <w:jc w:val="center"/>
                    <w:rPr>
                      <w:rFonts w:ascii="Bookman Old Style" w:eastAsia="Bookman Old Style" w:hAnsi="Bookman Old Style" w:cs="Bookman Old Style"/>
                      <w:color w:val="1A202C"/>
                      <w:sz w:val="24"/>
                      <w:szCs w:val="24"/>
                    </w:rPr>
                  </w:pPr>
                  <w:r>
                    <w:rPr>
                      <w:rFonts w:ascii="Bookman Old Style" w:eastAsia="Bookman Old Style" w:hAnsi="Bookman Old Style" w:cs="Bookman Old Style"/>
                      <w:color w:val="1A202C"/>
                      <w:sz w:val="24"/>
                      <w:szCs w:val="24"/>
                    </w:rPr>
                    <w:t>Interest Rate</w:t>
                  </w:r>
                </w:p>
              </w:tc>
            </w:tr>
            <w:tr w:rsidR="00DC59DB" w14:paraId="09E748DD" w14:textId="77777777">
              <w:tc>
                <w:tcPr>
                  <w:tcW w:w="4480" w:type="dxa"/>
                  <w:tcBorders>
                    <w:top w:val="nil"/>
                    <w:left w:val="nil"/>
                    <w:bottom w:val="single" w:sz="8" w:space="0" w:color="666666"/>
                    <w:right w:val="nil"/>
                  </w:tcBorders>
                  <w:shd w:val="clear" w:color="auto" w:fill="CCCCCC"/>
                  <w:tcMar>
                    <w:top w:w="100" w:type="dxa"/>
                    <w:left w:w="100" w:type="dxa"/>
                    <w:bottom w:w="100" w:type="dxa"/>
                    <w:right w:w="100" w:type="dxa"/>
                  </w:tcMar>
                </w:tcPr>
                <w:p w14:paraId="5F70EAA9" w14:textId="77777777" w:rsidR="00DC59DB" w:rsidRDefault="00C6355D">
                  <w:pPr>
                    <w:widowControl w:val="0"/>
                    <w:spacing w:line="240" w:lineRule="auto"/>
                    <w:jc w:val="center"/>
                    <w:rPr>
                      <w:rFonts w:ascii="Bookman Old Style" w:eastAsia="Bookman Old Style" w:hAnsi="Bookman Old Style" w:cs="Bookman Old Style"/>
                      <w:color w:val="1A202C"/>
                      <w:sz w:val="24"/>
                      <w:szCs w:val="24"/>
                    </w:rPr>
                  </w:pPr>
                  <w:r>
                    <w:rPr>
                      <w:rFonts w:ascii="Bookman Old Style" w:eastAsia="Bookman Old Style" w:hAnsi="Bookman Old Style" w:cs="Bookman Old Style"/>
                      <w:color w:val="1A202C"/>
                      <w:sz w:val="24"/>
                      <w:szCs w:val="24"/>
                    </w:rPr>
                    <w:t>Sex of Applicant</w:t>
                  </w:r>
                </w:p>
              </w:tc>
            </w:tr>
            <w:tr w:rsidR="00DC59DB" w14:paraId="060D6598" w14:textId="77777777">
              <w:tc>
                <w:tcPr>
                  <w:tcW w:w="4480" w:type="dxa"/>
                  <w:tcBorders>
                    <w:top w:val="nil"/>
                    <w:left w:val="nil"/>
                    <w:bottom w:val="single" w:sz="8" w:space="0" w:color="666666"/>
                    <w:right w:val="nil"/>
                  </w:tcBorders>
                  <w:tcMar>
                    <w:top w:w="100" w:type="dxa"/>
                    <w:left w:w="100" w:type="dxa"/>
                    <w:bottom w:w="100" w:type="dxa"/>
                    <w:right w:w="100" w:type="dxa"/>
                  </w:tcMar>
                </w:tcPr>
                <w:p w14:paraId="08E2F63E" w14:textId="77777777" w:rsidR="00DC59DB" w:rsidRDefault="00C6355D">
                  <w:pPr>
                    <w:widowControl w:val="0"/>
                    <w:spacing w:line="240" w:lineRule="auto"/>
                    <w:jc w:val="center"/>
                    <w:rPr>
                      <w:rFonts w:ascii="Bookman Old Style" w:eastAsia="Bookman Old Style" w:hAnsi="Bookman Old Style" w:cs="Bookman Old Style"/>
                      <w:color w:val="1A202C"/>
                      <w:sz w:val="24"/>
                      <w:szCs w:val="24"/>
                    </w:rPr>
                  </w:pPr>
                  <w:r>
                    <w:rPr>
                      <w:rFonts w:ascii="Bookman Old Style" w:eastAsia="Bookman Old Style" w:hAnsi="Bookman Old Style" w:cs="Bookman Old Style"/>
                      <w:color w:val="1A202C"/>
                      <w:sz w:val="24"/>
                      <w:szCs w:val="24"/>
                    </w:rPr>
                    <w:t xml:space="preserve">Discount Points </w:t>
                  </w:r>
                </w:p>
              </w:tc>
            </w:tr>
            <w:tr w:rsidR="00DC59DB" w14:paraId="3A72BAE1" w14:textId="77777777">
              <w:tc>
                <w:tcPr>
                  <w:tcW w:w="4480" w:type="dxa"/>
                  <w:tcBorders>
                    <w:top w:val="nil"/>
                    <w:left w:val="nil"/>
                    <w:bottom w:val="single" w:sz="8" w:space="0" w:color="666666"/>
                    <w:right w:val="nil"/>
                  </w:tcBorders>
                  <w:shd w:val="clear" w:color="auto" w:fill="CCCCCC"/>
                  <w:tcMar>
                    <w:top w:w="100" w:type="dxa"/>
                    <w:left w:w="100" w:type="dxa"/>
                    <w:bottom w:w="100" w:type="dxa"/>
                    <w:right w:w="100" w:type="dxa"/>
                  </w:tcMar>
                </w:tcPr>
                <w:p w14:paraId="4AFF2D1E" w14:textId="77777777" w:rsidR="00DC59DB" w:rsidRDefault="00C6355D">
                  <w:pPr>
                    <w:widowControl w:val="0"/>
                    <w:spacing w:line="240" w:lineRule="auto"/>
                    <w:jc w:val="center"/>
                    <w:rPr>
                      <w:rFonts w:ascii="Bookman Old Style" w:eastAsia="Bookman Old Style" w:hAnsi="Bookman Old Style" w:cs="Bookman Old Style"/>
                      <w:color w:val="1A202C"/>
                      <w:sz w:val="24"/>
                      <w:szCs w:val="24"/>
                    </w:rPr>
                  </w:pPr>
                  <w:r>
                    <w:rPr>
                      <w:rFonts w:ascii="Bookman Old Style" w:eastAsia="Bookman Old Style" w:hAnsi="Bookman Old Style" w:cs="Bookman Old Style"/>
                      <w:color w:val="1A202C"/>
                      <w:sz w:val="24"/>
                      <w:szCs w:val="24"/>
                    </w:rPr>
                    <w:t>Lender Credits</w:t>
                  </w:r>
                </w:p>
              </w:tc>
            </w:tr>
          </w:tbl>
          <w:p w14:paraId="5E78218D" w14:textId="77777777" w:rsidR="00DC59DB" w:rsidRDefault="00DC59DB">
            <w:pPr>
              <w:widowControl w:val="0"/>
              <w:pBdr>
                <w:top w:val="nil"/>
                <w:left w:val="nil"/>
                <w:bottom w:val="nil"/>
                <w:right w:val="nil"/>
                <w:between w:val="nil"/>
              </w:pBdr>
              <w:spacing w:line="240" w:lineRule="auto"/>
              <w:rPr>
                <w:rFonts w:ascii="EB Garamond" w:eastAsia="EB Garamond" w:hAnsi="EB Garamond" w:cs="EB Garamond"/>
                <w:color w:val="202124"/>
                <w:sz w:val="24"/>
                <w:szCs w:val="24"/>
                <w:highlight w:val="white"/>
              </w:rPr>
            </w:pPr>
          </w:p>
        </w:tc>
      </w:tr>
    </w:tbl>
    <w:p w14:paraId="026B9508" w14:textId="77777777" w:rsidR="00DC59DB" w:rsidRDefault="00C6355D">
      <w:pPr>
        <w:widowControl w:val="0"/>
        <w:rPr>
          <w:rFonts w:ascii="EB Garamond" w:eastAsia="EB Garamond" w:hAnsi="EB Garamond" w:cs="EB Garamond"/>
          <w:color w:val="202124"/>
          <w:sz w:val="36"/>
          <w:szCs w:val="36"/>
          <w:highlight w:val="white"/>
        </w:rPr>
      </w:pPr>
      <w:r>
        <w:rPr>
          <w:rFonts w:ascii="EB Garamond" w:eastAsia="EB Garamond" w:hAnsi="EB Garamond" w:cs="EB Garamond"/>
          <w:color w:val="202124"/>
          <w:sz w:val="36"/>
          <w:szCs w:val="36"/>
          <w:highlight w:val="white"/>
        </w:rPr>
        <w:t xml:space="preserve"> </w:t>
      </w:r>
    </w:p>
    <w:p w14:paraId="74411803" w14:textId="77777777" w:rsidR="00DC59DB" w:rsidRDefault="00C6355D">
      <w:pPr>
        <w:widowControl w:val="0"/>
        <w:rPr>
          <w:rFonts w:ascii="EB Garamond" w:eastAsia="EB Garamond" w:hAnsi="EB Garamond" w:cs="EB Garamond"/>
          <w:color w:val="202124"/>
          <w:sz w:val="24"/>
          <w:szCs w:val="24"/>
          <w:highlight w:val="white"/>
        </w:rPr>
      </w:pPr>
      <w:r>
        <w:rPr>
          <w:rFonts w:ascii="EB Garamond" w:eastAsia="EB Garamond" w:hAnsi="EB Garamond" w:cs="EB Garamond"/>
          <w:color w:val="202124"/>
          <w:sz w:val="24"/>
          <w:szCs w:val="24"/>
          <w:highlight w:val="white"/>
        </w:rPr>
        <w:t xml:space="preserve">From here, we cleaned up the data, ensuring that all variables were of the appropriate data type for our analysis. We also checked for and dealt with any </w:t>
      </w:r>
      <w:proofErr w:type="gramStart"/>
      <w:r>
        <w:rPr>
          <w:rFonts w:ascii="EB Garamond" w:eastAsia="EB Garamond" w:hAnsi="EB Garamond" w:cs="EB Garamond"/>
          <w:color w:val="202124"/>
          <w:sz w:val="24"/>
          <w:szCs w:val="24"/>
          <w:highlight w:val="white"/>
        </w:rPr>
        <w:t>NA’s</w:t>
      </w:r>
      <w:proofErr w:type="gramEnd"/>
      <w:r>
        <w:rPr>
          <w:rFonts w:ascii="EB Garamond" w:eastAsia="EB Garamond" w:hAnsi="EB Garamond" w:cs="EB Garamond"/>
          <w:color w:val="202124"/>
          <w:sz w:val="24"/>
          <w:szCs w:val="24"/>
          <w:highlight w:val="white"/>
        </w:rPr>
        <w:t xml:space="preserve"> in the data, as well as adjusted filters for the data based on our investigative goals. For examp</w:t>
      </w:r>
      <w:r>
        <w:rPr>
          <w:rFonts w:ascii="EB Garamond" w:eastAsia="EB Garamond" w:hAnsi="EB Garamond" w:cs="EB Garamond"/>
          <w:color w:val="202124"/>
          <w:sz w:val="24"/>
          <w:szCs w:val="24"/>
          <w:highlight w:val="white"/>
        </w:rPr>
        <w:t>le, we used the property value standard deviation to filter out any homes that were more than 1 standard deviation above the mean for property value. This dealt with potential outliers, made the graphs easier to use and interpret, and attempted to focus th</w:t>
      </w:r>
      <w:r>
        <w:rPr>
          <w:rFonts w:ascii="EB Garamond" w:eastAsia="EB Garamond" w:hAnsi="EB Garamond" w:cs="EB Garamond"/>
          <w:color w:val="202124"/>
          <w:sz w:val="24"/>
          <w:szCs w:val="24"/>
          <w:highlight w:val="white"/>
        </w:rPr>
        <w:t>e data on family homes (by hopefully filtering out more expensive commercial properties).</w:t>
      </w:r>
    </w:p>
    <w:p w14:paraId="00432F92" w14:textId="77777777" w:rsidR="00DC59DB" w:rsidRDefault="00DC59DB">
      <w:pPr>
        <w:widowControl w:val="0"/>
        <w:rPr>
          <w:rFonts w:ascii="EB Garamond" w:eastAsia="EB Garamond" w:hAnsi="EB Garamond" w:cs="EB Garamond"/>
          <w:b/>
          <w:color w:val="202124"/>
          <w:sz w:val="24"/>
          <w:szCs w:val="24"/>
          <w:highlight w:val="white"/>
        </w:rPr>
      </w:pPr>
    </w:p>
    <w:p w14:paraId="2C849DA0" w14:textId="77777777" w:rsidR="00DC59DB" w:rsidRDefault="00C6355D">
      <w:pPr>
        <w:widowControl w:val="0"/>
        <w:rPr>
          <w:rFonts w:ascii="EB Garamond" w:eastAsia="EB Garamond" w:hAnsi="EB Garamond" w:cs="EB Garamond"/>
          <w:b/>
          <w:color w:val="202124"/>
          <w:sz w:val="24"/>
          <w:szCs w:val="24"/>
          <w:highlight w:val="white"/>
        </w:rPr>
      </w:pPr>
      <w:r>
        <w:rPr>
          <w:rFonts w:ascii="EB Garamond" w:eastAsia="EB Garamond" w:hAnsi="EB Garamond" w:cs="EB Garamond"/>
          <w:color w:val="202124"/>
          <w:sz w:val="24"/>
          <w:szCs w:val="24"/>
          <w:highlight w:val="white"/>
        </w:rPr>
        <w:t>After cleaning up the data we moved onto the EDA and modeling.</w:t>
      </w:r>
    </w:p>
    <w:p w14:paraId="4C615D98" w14:textId="77777777" w:rsidR="00C6355D" w:rsidRDefault="00C6355D">
      <w:pPr>
        <w:widowControl w:val="0"/>
        <w:jc w:val="center"/>
        <w:rPr>
          <w:rFonts w:ascii="EB Garamond" w:eastAsia="EB Garamond" w:hAnsi="EB Garamond" w:cs="EB Garamond"/>
          <w:b/>
          <w:color w:val="202124"/>
          <w:sz w:val="24"/>
          <w:szCs w:val="24"/>
          <w:highlight w:val="white"/>
        </w:rPr>
      </w:pPr>
    </w:p>
    <w:p w14:paraId="7FDEBDA6" w14:textId="77777777" w:rsidR="00C6355D" w:rsidRDefault="00C6355D">
      <w:pPr>
        <w:widowControl w:val="0"/>
        <w:jc w:val="center"/>
        <w:rPr>
          <w:rFonts w:ascii="EB Garamond" w:eastAsia="EB Garamond" w:hAnsi="EB Garamond" w:cs="EB Garamond"/>
          <w:b/>
          <w:color w:val="202124"/>
          <w:sz w:val="24"/>
          <w:szCs w:val="24"/>
          <w:highlight w:val="white"/>
        </w:rPr>
      </w:pPr>
    </w:p>
    <w:p w14:paraId="769FD5B2" w14:textId="4E50767F" w:rsidR="00DC59DB" w:rsidRDefault="00C6355D">
      <w:pPr>
        <w:widowControl w:val="0"/>
        <w:jc w:val="center"/>
        <w:rPr>
          <w:rFonts w:ascii="EB Garamond" w:eastAsia="EB Garamond" w:hAnsi="EB Garamond" w:cs="EB Garamond"/>
          <w:color w:val="202124"/>
          <w:sz w:val="24"/>
          <w:szCs w:val="24"/>
          <w:highlight w:val="white"/>
        </w:rPr>
      </w:pPr>
      <w:r>
        <w:rPr>
          <w:rFonts w:ascii="EB Garamond" w:eastAsia="EB Garamond" w:hAnsi="EB Garamond" w:cs="EB Garamond"/>
          <w:b/>
          <w:color w:val="202124"/>
          <w:sz w:val="24"/>
          <w:szCs w:val="24"/>
          <w:highlight w:val="white"/>
        </w:rPr>
        <w:lastRenderedPageBreak/>
        <w:t>Analysis</w:t>
      </w:r>
    </w:p>
    <w:p w14:paraId="287CA83A" w14:textId="77777777" w:rsidR="00C6355D" w:rsidRDefault="00C6355D">
      <w:pPr>
        <w:widowControl w:val="0"/>
        <w:rPr>
          <w:rFonts w:ascii="EB Garamond" w:eastAsia="EB Garamond" w:hAnsi="EB Garamond" w:cs="EB Garamond"/>
          <w:color w:val="1A202C"/>
          <w:sz w:val="24"/>
          <w:szCs w:val="24"/>
          <w:highlight w:val="white"/>
        </w:rPr>
      </w:pPr>
    </w:p>
    <w:p w14:paraId="683E2DA8" w14:textId="77777777" w:rsidR="00DC59DB" w:rsidRDefault="00C6355D">
      <w:pPr>
        <w:rPr>
          <w:rFonts w:ascii="EB Garamond" w:eastAsia="EB Garamond" w:hAnsi="EB Garamond" w:cs="EB Garamond"/>
          <w:b/>
          <w:i/>
          <w:color w:val="1A202C"/>
          <w:sz w:val="24"/>
          <w:szCs w:val="24"/>
        </w:rPr>
      </w:pPr>
      <w:r>
        <w:rPr>
          <w:rFonts w:ascii="EB Garamond" w:eastAsia="EB Garamond" w:hAnsi="EB Garamond" w:cs="EB Garamond"/>
          <w:b/>
          <w:i/>
          <w:color w:val="1A202C"/>
          <w:sz w:val="24"/>
          <w:szCs w:val="24"/>
        </w:rPr>
        <w:t xml:space="preserve">Property Values &amp; Community Characteristics </w:t>
      </w:r>
    </w:p>
    <w:p w14:paraId="346A6BB6" w14:textId="77777777" w:rsidR="00DC59DB" w:rsidRDefault="00DC59DB">
      <w:pPr>
        <w:widowControl w:val="0"/>
        <w:rPr>
          <w:rFonts w:ascii="EB Garamond" w:eastAsia="EB Garamond" w:hAnsi="EB Garamond" w:cs="EB Garamond"/>
          <w:color w:val="202124"/>
          <w:sz w:val="24"/>
          <w:szCs w:val="24"/>
          <w:highlight w:val="white"/>
        </w:rPr>
      </w:pPr>
    </w:p>
    <w:p w14:paraId="71B2EB3F" w14:textId="77777777" w:rsidR="00DC59DB" w:rsidRDefault="00C6355D">
      <w:pPr>
        <w:widowControl w:val="0"/>
        <w:rPr>
          <w:rFonts w:ascii="EB Garamond" w:eastAsia="EB Garamond" w:hAnsi="EB Garamond" w:cs="EB Garamond"/>
          <w:color w:val="202124"/>
          <w:sz w:val="24"/>
          <w:szCs w:val="24"/>
          <w:highlight w:val="white"/>
          <w:u w:val="single"/>
        </w:rPr>
      </w:pPr>
      <w:r>
        <w:rPr>
          <w:rFonts w:ascii="EB Garamond" w:eastAsia="EB Garamond" w:hAnsi="EB Garamond" w:cs="EB Garamond"/>
          <w:color w:val="202124"/>
          <w:sz w:val="24"/>
          <w:szCs w:val="24"/>
          <w:highlight w:val="white"/>
          <w:u w:val="single"/>
        </w:rPr>
        <w:t>EDA and Graphs</w:t>
      </w:r>
    </w:p>
    <w:p w14:paraId="77F7D0AF" w14:textId="77777777" w:rsidR="00DC59DB" w:rsidRDefault="00DC59DB">
      <w:pPr>
        <w:widowControl w:val="0"/>
        <w:rPr>
          <w:rFonts w:ascii="EB Garamond" w:eastAsia="EB Garamond" w:hAnsi="EB Garamond" w:cs="EB Garamond"/>
          <w:color w:val="202124"/>
          <w:sz w:val="24"/>
          <w:szCs w:val="24"/>
          <w:highlight w:val="white"/>
        </w:rPr>
      </w:pPr>
    </w:p>
    <w:p w14:paraId="790DD311" w14:textId="77777777" w:rsidR="00DC59DB" w:rsidRDefault="00C6355D">
      <w:pPr>
        <w:widowControl w:val="0"/>
        <w:numPr>
          <w:ilvl w:val="0"/>
          <w:numId w:val="2"/>
        </w:numPr>
        <w:rPr>
          <w:rFonts w:ascii="EB Garamond" w:eastAsia="EB Garamond" w:hAnsi="EB Garamond" w:cs="EB Garamond"/>
          <w:color w:val="202124"/>
          <w:sz w:val="24"/>
          <w:szCs w:val="24"/>
          <w:highlight w:val="white"/>
        </w:rPr>
      </w:pPr>
      <w:r>
        <w:rPr>
          <w:rFonts w:ascii="EB Garamond" w:eastAsia="EB Garamond" w:hAnsi="EB Garamond" w:cs="EB Garamond"/>
          <w:color w:val="202124"/>
          <w:sz w:val="24"/>
          <w:szCs w:val="24"/>
          <w:highlight w:val="white"/>
        </w:rPr>
        <w:t>Property Values showed a unimodal distribution, although it was not normal. The peak of the curve was around $500,000 - $ 750,000, with a fat tail trailing out to the cut off at $3,5000,000.</w:t>
      </w:r>
    </w:p>
    <w:p w14:paraId="22671901" w14:textId="77777777" w:rsidR="00DC59DB" w:rsidRDefault="00DC59DB">
      <w:pPr>
        <w:widowControl w:val="0"/>
        <w:ind w:left="720"/>
        <w:rPr>
          <w:rFonts w:ascii="EB Garamond" w:eastAsia="EB Garamond" w:hAnsi="EB Garamond" w:cs="EB Garamond"/>
          <w:color w:val="202124"/>
          <w:sz w:val="24"/>
          <w:szCs w:val="24"/>
          <w:highlight w:val="white"/>
        </w:rPr>
      </w:pPr>
    </w:p>
    <w:p w14:paraId="68370F81" w14:textId="77777777" w:rsidR="00DC59DB" w:rsidRDefault="00C6355D">
      <w:pPr>
        <w:jc w:val="center"/>
        <w:rPr>
          <w:rFonts w:ascii="EB Garamond" w:eastAsia="EB Garamond" w:hAnsi="EB Garamond" w:cs="EB Garamond"/>
          <w:color w:val="202124"/>
          <w:sz w:val="24"/>
          <w:szCs w:val="24"/>
          <w:highlight w:val="white"/>
        </w:rPr>
      </w:pPr>
      <w:r>
        <w:rPr>
          <w:rFonts w:ascii="EB Garamond" w:eastAsia="EB Garamond" w:hAnsi="EB Garamond" w:cs="EB Garamond"/>
          <w:b/>
          <w:noProof/>
          <w:sz w:val="24"/>
          <w:szCs w:val="24"/>
        </w:rPr>
        <w:drawing>
          <wp:inline distT="114300" distB="114300" distL="114300" distR="114300" wp14:anchorId="438D0F04" wp14:editId="1585F129">
            <wp:extent cx="3195638" cy="2441949"/>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195638" cy="2441949"/>
                    </a:xfrm>
                    <a:prstGeom prst="rect">
                      <a:avLst/>
                    </a:prstGeom>
                    <a:ln/>
                  </pic:spPr>
                </pic:pic>
              </a:graphicData>
            </a:graphic>
          </wp:inline>
        </w:drawing>
      </w:r>
    </w:p>
    <w:p w14:paraId="235AC765" w14:textId="77777777" w:rsidR="00DC59DB" w:rsidRDefault="00C6355D">
      <w:pPr>
        <w:widowControl w:val="0"/>
        <w:numPr>
          <w:ilvl w:val="0"/>
          <w:numId w:val="2"/>
        </w:numPr>
        <w:rPr>
          <w:rFonts w:ascii="EB Garamond" w:eastAsia="EB Garamond" w:hAnsi="EB Garamond" w:cs="EB Garamond"/>
          <w:color w:val="202124"/>
          <w:sz w:val="24"/>
          <w:szCs w:val="24"/>
          <w:highlight w:val="white"/>
        </w:rPr>
      </w:pPr>
      <w:r>
        <w:rPr>
          <w:rFonts w:ascii="EB Garamond" w:eastAsia="EB Garamond" w:hAnsi="EB Garamond" w:cs="EB Garamond"/>
          <w:color w:val="202124"/>
          <w:sz w:val="24"/>
          <w:szCs w:val="24"/>
          <w:highlight w:val="white"/>
        </w:rPr>
        <w:t>The percentage of the community that was a minority had a bimodal distribution, with the first peak coming around a minority percentage of 20%, and the second peak around a minority percentage of 90-100%. This suggests that people tend to be clustered in e</w:t>
      </w:r>
      <w:r>
        <w:rPr>
          <w:rFonts w:ascii="EB Garamond" w:eastAsia="EB Garamond" w:hAnsi="EB Garamond" w:cs="EB Garamond"/>
          <w:color w:val="202124"/>
          <w:sz w:val="24"/>
          <w:szCs w:val="24"/>
          <w:highlight w:val="white"/>
        </w:rPr>
        <w:t>ither very low or very high minority neighborhoods.</w:t>
      </w:r>
    </w:p>
    <w:p w14:paraId="6CA02702" w14:textId="77777777" w:rsidR="00DC59DB" w:rsidRDefault="00DC59DB">
      <w:pPr>
        <w:widowControl w:val="0"/>
        <w:rPr>
          <w:rFonts w:ascii="EB Garamond" w:eastAsia="EB Garamond" w:hAnsi="EB Garamond" w:cs="EB Garamond"/>
          <w:color w:val="202124"/>
          <w:sz w:val="24"/>
          <w:szCs w:val="24"/>
          <w:highlight w:val="white"/>
        </w:rPr>
      </w:pPr>
    </w:p>
    <w:p w14:paraId="57057634" w14:textId="77777777" w:rsidR="00DC59DB" w:rsidRDefault="00C6355D">
      <w:pPr>
        <w:jc w:val="center"/>
        <w:rPr>
          <w:rFonts w:ascii="EB Garamond" w:eastAsia="EB Garamond" w:hAnsi="EB Garamond" w:cs="EB Garamond"/>
          <w:color w:val="202124"/>
          <w:sz w:val="24"/>
          <w:szCs w:val="24"/>
          <w:highlight w:val="white"/>
        </w:rPr>
      </w:pPr>
      <w:r>
        <w:rPr>
          <w:rFonts w:ascii="EB Garamond" w:eastAsia="EB Garamond" w:hAnsi="EB Garamond" w:cs="EB Garamond"/>
          <w:b/>
          <w:noProof/>
          <w:sz w:val="24"/>
          <w:szCs w:val="24"/>
        </w:rPr>
        <w:drawing>
          <wp:inline distT="114300" distB="114300" distL="114300" distR="114300" wp14:anchorId="4E816A2A" wp14:editId="55D2B6E8">
            <wp:extent cx="3154484" cy="2309165"/>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3154484" cy="2309165"/>
                    </a:xfrm>
                    <a:prstGeom prst="rect">
                      <a:avLst/>
                    </a:prstGeom>
                    <a:ln/>
                  </pic:spPr>
                </pic:pic>
              </a:graphicData>
            </a:graphic>
          </wp:inline>
        </w:drawing>
      </w:r>
    </w:p>
    <w:p w14:paraId="07949A1C" w14:textId="77777777" w:rsidR="00DC59DB" w:rsidRDefault="00C6355D">
      <w:pPr>
        <w:widowControl w:val="0"/>
        <w:numPr>
          <w:ilvl w:val="0"/>
          <w:numId w:val="2"/>
        </w:numPr>
        <w:rPr>
          <w:rFonts w:ascii="EB Garamond" w:eastAsia="EB Garamond" w:hAnsi="EB Garamond" w:cs="EB Garamond"/>
          <w:color w:val="202124"/>
          <w:sz w:val="24"/>
          <w:szCs w:val="24"/>
          <w:highlight w:val="white"/>
        </w:rPr>
      </w:pPr>
      <w:r>
        <w:rPr>
          <w:rFonts w:ascii="EB Garamond" w:eastAsia="EB Garamond" w:hAnsi="EB Garamond" w:cs="EB Garamond"/>
          <w:color w:val="202124"/>
          <w:sz w:val="24"/>
          <w:szCs w:val="24"/>
          <w:highlight w:val="white"/>
        </w:rPr>
        <w:lastRenderedPageBreak/>
        <w:t xml:space="preserve">The median family income of a community relative to the regional value was multimodal. Broadly speaking there were two major peaks, the first encompassing incomes in the 50-100% range, and a second at </w:t>
      </w:r>
      <w:r>
        <w:rPr>
          <w:rFonts w:ascii="EB Garamond" w:eastAsia="EB Garamond" w:hAnsi="EB Garamond" w:cs="EB Garamond"/>
          <w:color w:val="202124"/>
          <w:sz w:val="24"/>
          <w:szCs w:val="24"/>
          <w:highlight w:val="white"/>
        </w:rPr>
        <w:t>around 175%. In more detail, there were peaks around 50%, 85%, 130%, and 175%. This indicates that neighborhoods tend to be grouped according to common income levels.</w:t>
      </w:r>
    </w:p>
    <w:p w14:paraId="6AE8E941" w14:textId="77777777" w:rsidR="00DC59DB" w:rsidRDefault="00DC59DB">
      <w:pPr>
        <w:widowControl w:val="0"/>
        <w:ind w:left="720"/>
        <w:rPr>
          <w:rFonts w:ascii="EB Garamond" w:eastAsia="EB Garamond" w:hAnsi="EB Garamond" w:cs="EB Garamond"/>
          <w:color w:val="202124"/>
          <w:sz w:val="24"/>
          <w:szCs w:val="24"/>
          <w:highlight w:val="white"/>
        </w:rPr>
      </w:pPr>
    </w:p>
    <w:p w14:paraId="04494E97" w14:textId="77777777" w:rsidR="00DC59DB" w:rsidRDefault="00C6355D">
      <w:pPr>
        <w:jc w:val="center"/>
        <w:rPr>
          <w:rFonts w:ascii="EB Garamond" w:eastAsia="EB Garamond" w:hAnsi="EB Garamond" w:cs="EB Garamond"/>
          <w:color w:val="202124"/>
          <w:sz w:val="24"/>
          <w:szCs w:val="24"/>
          <w:highlight w:val="white"/>
        </w:rPr>
      </w:pPr>
      <w:r>
        <w:rPr>
          <w:rFonts w:ascii="EB Garamond" w:eastAsia="EB Garamond" w:hAnsi="EB Garamond" w:cs="EB Garamond"/>
          <w:b/>
          <w:noProof/>
          <w:sz w:val="24"/>
          <w:szCs w:val="24"/>
        </w:rPr>
        <w:drawing>
          <wp:inline distT="114300" distB="114300" distL="114300" distR="114300" wp14:anchorId="0FBFC078" wp14:editId="4A477B6F">
            <wp:extent cx="3288359" cy="2395804"/>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3288359" cy="2395804"/>
                    </a:xfrm>
                    <a:prstGeom prst="rect">
                      <a:avLst/>
                    </a:prstGeom>
                    <a:ln/>
                  </pic:spPr>
                </pic:pic>
              </a:graphicData>
            </a:graphic>
          </wp:inline>
        </w:drawing>
      </w:r>
    </w:p>
    <w:p w14:paraId="0B58A098" w14:textId="77777777" w:rsidR="00DC59DB" w:rsidRDefault="00DC59DB">
      <w:pPr>
        <w:widowControl w:val="0"/>
        <w:rPr>
          <w:rFonts w:ascii="EB Garamond" w:eastAsia="EB Garamond" w:hAnsi="EB Garamond" w:cs="EB Garamond"/>
          <w:color w:val="202124"/>
          <w:sz w:val="24"/>
          <w:szCs w:val="24"/>
          <w:highlight w:val="white"/>
        </w:rPr>
      </w:pPr>
    </w:p>
    <w:p w14:paraId="6215A15D" w14:textId="77777777" w:rsidR="00DC59DB" w:rsidRDefault="00C6355D">
      <w:pPr>
        <w:widowControl w:val="0"/>
        <w:numPr>
          <w:ilvl w:val="0"/>
          <w:numId w:val="1"/>
        </w:numPr>
        <w:rPr>
          <w:rFonts w:ascii="EB Garamond" w:eastAsia="EB Garamond" w:hAnsi="EB Garamond" w:cs="EB Garamond"/>
          <w:color w:val="202124"/>
          <w:sz w:val="24"/>
          <w:szCs w:val="24"/>
          <w:highlight w:val="white"/>
        </w:rPr>
      </w:pPr>
      <w:r>
        <w:rPr>
          <w:rFonts w:ascii="EB Garamond" w:eastAsia="EB Garamond" w:hAnsi="EB Garamond" w:cs="EB Garamond"/>
          <w:color w:val="202124"/>
          <w:sz w:val="24"/>
          <w:szCs w:val="24"/>
          <w:highlight w:val="white"/>
        </w:rPr>
        <w:t>The community percentage of Regional Family Median Income (MFI) (0.46), the community</w:t>
      </w:r>
      <w:r>
        <w:rPr>
          <w:rFonts w:ascii="EB Garamond" w:eastAsia="EB Garamond" w:hAnsi="EB Garamond" w:cs="EB Garamond"/>
          <w:color w:val="202124"/>
          <w:sz w:val="24"/>
          <w:szCs w:val="24"/>
          <w:highlight w:val="white"/>
        </w:rPr>
        <w:t xml:space="preserve"> percentage of minority residents (-0.42), the number of </w:t>
      </w:r>
      <w:proofErr w:type="gramStart"/>
      <w:r>
        <w:rPr>
          <w:rFonts w:ascii="EB Garamond" w:eastAsia="EB Garamond" w:hAnsi="EB Garamond" w:cs="EB Garamond"/>
          <w:color w:val="202124"/>
          <w:sz w:val="24"/>
          <w:szCs w:val="24"/>
          <w:highlight w:val="white"/>
        </w:rPr>
        <w:t>owner occupied</w:t>
      </w:r>
      <w:proofErr w:type="gramEnd"/>
      <w:r>
        <w:rPr>
          <w:rFonts w:ascii="EB Garamond" w:eastAsia="EB Garamond" w:hAnsi="EB Garamond" w:cs="EB Garamond"/>
          <w:color w:val="202124"/>
          <w:sz w:val="24"/>
          <w:szCs w:val="24"/>
          <w:highlight w:val="white"/>
        </w:rPr>
        <w:t xml:space="preserve"> homes (0.21), and the number of 1-4 family homes (0.21) were kept for showing a correlation score greater than 0.2 with property value. Other numeric variables were dropped.</w:t>
      </w:r>
    </w:p>
    <w:p w14:paraId="72DC44D3" w14:textId="77777777" w:rsidR="00DC59DB" w:rsidRDefault="00C6355D">
      <w:pPr>
        <w:widowControl w:val="0"/>
        <w:numPr>
          <w:ilvl w:val="0"/>
          <w:numId w:val="1"/>
        </w:numPr>
        <w:rPr>
          <w:rFonts w:ascii="EB Garamond" w:eastAsia="EB Garamond" w:hAnsi="EB Garamond" w:cs="EB Garamond"/>
          <w:color w:val="202124"/>
          <w:sz w:val="24"/>
          <w:szCs w:val="24"/>
          <w:highlight w:val="white"/>
        </w:rPr>
      </w:pPr>
      <w:r>
        <w:rPr>
          <w:rFonts w:ascii="EB Garamond" w:eastAsia="EB Garamond" w:hAnsi="EB Garamond" w:cs="EB Garamond"/>
          <w:color w:val="202124"/>
          <w:sz w:val="24"/>
          <w:szCs w:val="24"/>
          <w:highlight w:val="white"/>
        </w:rPr>
        <w:t>The commun</w:t>
      </w:r>
      <w:r>
        <w:rPr>
          <w:rFonts w:ascii="EB Garamond" w:eastAsia="EB Garamond" w:hAnsi="EB Garamond" w:cs="EB Garamond"/>
          <w:color w:val="202124"/>
          <w:sz w:val="24"/>
          <w:szCs w:val="24"/>
          <w:highlight w:val="white"/>
        </w:rPr>
        <w:t xml:space="preserve">ity percentage of MFI </w:t>
      </w:r>
      <w:proofErr w:type="gramStart"/>
      <w:r>
        <w:rPr>
          <w:rFonts w:ascii="EB Garamond" w:eastAsia="EB Garamond" w:hAnsi="EB Garamond" w:cs="EB Garamond"/>
          <w:color w:val="202124"/>
          <w:sz w:val="24"/>
          <w:szCs w:val="24"/>
          <w:highlight w:val="white"/>
        </w:rPr>
        <w:t>and  the</w:t>
      </w:r>
      <w:proofErr w:type="gramEnd"/>
      <w:r>
        <w:rPr>
          <w:rFonts w:ascii="EB Garamond" w:eastAsia="EB Garamond" w:hAnsi="EB Garamond" w:cs="EB Garamond"/>
          <w:color w:val="202124"/>
          <w:sz w:val="24"/>
          <w:szCs w:val="24"/>
          <w:highlight w:val="white"/>
        </w:rPr>
        <w:t xml:space="preserve"> community percentage of minority residents also showed a change in the variance of property value in addition to increasing or decreasing average values. As the percentage of MFI increased both the average property value and </w:t>
      </w:r>
      <w:r>
        <w:rPr>
          <w:rFonts w:ascii="EB Garamond" w:eastAsia="EB Garamond" w:hAnsi="EB Garamond" w:cs="EB Garamond"/>
          <w:color w:val="202124"/>
          <w:sz w:val="24"/>
          <w:szCs w:val="24"/>
          <w:highlight w:val="white"/>
        </w:rPr>
        <w:t>the variance of the values increased. As the percentage of a community’s minority population increased, both the average property value and the variance of the values decreased.</w:t>
      </w:r>
    </w:p>
    <w:p w14:paraId="07493CE8" w14:textId="77777777" w:rsidR="00DC59DB" w:rsidRDefault="00DC59DB">
      <w:pPr>
        <w:widowControl w:val="0"/>
        <w:ind w:left="720"/>
        <w:rPr>
          <w:rFonts w:ascii="EB Garamond" w:eastAsia="EB Garamond" w:hAnsi="EB Garamond" w:cs="EB Garamond"/>
          <w:color w:val="202124"/>
          <w:sz w:val="24"/>
          <w:szCs w:val="24"/>
          <w:highlight w:val="white"/>
        </w:rPr>
      </w:pPr>
    </w:p>
    <w:p w14:paraId="1FB23346" w14:textId="77777777" w:rsidR="00DC59DB" w:rsidRDefault="00C6355D">
      <w:pPr>
        <w:widowControl w:val="0"/>
        <w:ind w:left="720"/>
        <w:jc w:val="center"/>
        <w:rPr>
          <w:rFonts w:ascii="EB Garamond" w:eastAsia="EB Garamond" w:hAnsi="EB Garamond" w:cs="EB Garamond"/>
          <w:color w:val="202124"/>
          <w:sz w:val="24"/>
          <w:szCs w:val="24"/>
          <w:highlight w:val="white"/>
        </w:rPr>
      </w:pPr>
      <w:r>
        <w:rPr>
          <w:rFonts w:ascii="EB Garamond" w:eastAsia="EB Garamond" w:hAnsi="EB Garamond" w:cs="EB Garamond"/>
          <w:noProof/>
          <w:color w:val="202124"/>
          <w:sz w:val="24"/>
          <w:szCs w:val="24"/>
          <w:highlight w:val="white"/>
        </w:rPr>
        <w:drawing>
          <wp:inline distT="114300" distB="114300" distL="114300" distR="114300" wp14:anchorId="335721E0" wp14:editId="30BB4BF8">
            <wp:extent cx="5224463" cy="1779346"/>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224463" cy="1779346"/>
                    </a:xfrm>
                    <a:prstGeom prst="rect">
                      <a:avLst/>
                    </a:prstGeom>
                    <a:ln/>
                  </pic:spPr>
                </pic:pic>
              </a:graphicData>
            </a:graphic>
          </wp:inline>
        </w:drawing>
      </w:r>
    </w:p>
    <w:p w14:paraId="1265D79A" w14:textId="77777777" w:rsidR="00DC59DB" w:rsidRDefault="00DC59DB">
      <w:pPr>
        <w:widowControl w:val="0"/>
        <w:ind w:left="720"/>
        <w:rPr>
          <w:rFonts w:ascii="EB Garamond" w:eastAsia="EB Garamond" w:hAnsi="EB Garamond" w:cs="EB Garamond"/>
          <w:color w:val="202124"/>
          <w:sz w:val="24"/>
          <w:szCs w:val="24"/>
          <w:highlight w:val="white"/>
        </w:rPr>
      </w:pPr>
    </w:p>
    <w:p w14:paraId="680CFA3F" w14:textId="77777777" w:rsidR="00DC59DB" w:rsidRDefault="00C6355D">
      <w:pPr>
        <w:widowControl w:val="0"/>
        <w:rPr>
          <w:rFonts w:ascii="EB Garamond" w:eastAsia="EB Garamond" w:hAnsi="EB Garamond" w:cs="EB Garamond"/>
          <w:color w:val="202124"/>
          <w:sz w:val="24"/>
          <w:szCs w:val="24"/>
          <w:highlight w:val="white"/>
          <w:u w:val="single"/>
        </w:rPr>
      </w:pPr>
      <w:r>
        <w:rPr>
          <w:rFonts w:ascii="EB Garamond" w:eastAsia="EB Garamond" w:hAnsi="EB Garamond" w:cs="EB Garamond"/>
          <w:color w:val="202124"/>
          <w:sz w:val="24"/>
          <w:szCs w:val="24"/>
          <w:highlight w:val="white"/>
          <w:u w:val="single"/>
        </w:rPr>
        <w:t>Feature Selection</w:t>
      </w:r>
    </w:p>
    <w:p w14:paraId="54E931C8" w14:textId="77777777" w:rsidR="00DC59DB" w:rsidRDefault="00DC59DB">
      <w:pPr>
        <w:widowControl w:val="0"/>
        <w:ind w:left="720"/>
        <w:rPr>
          <w:rFonts w:ascii="EB Garamond" w:eastAsia="EB Garamond" w:hAnsi="EB Garamond" w:cs="EB Garamond"/>
          <w:color w:val="202124"/>
          <w:sz w:val="24"/>
          <w:szCs w:val="24"/>
          <w:highlight w:val="white"/>
        </w:rPr>
      </w:pPr>
    </w:p>
    <w:p w14:paraId="112798E8" w14:textId="77777777" w:rsidR="00DC59DB" w:rsidRDefault="00C6355D">
      <w:pPr>
        <w:widowControl w:val="0"/>
        <w:numPr>
          <w:ilvl w:val="0"/>
          <w:numId w:val="1"/>
        </w:numPr>
        <w:rPr>
          <w:rFonts w:ascii="EB Garamond" w:eastAsia="EB Garamond" w:hAnsi="EB Garamond" w:cs="EB Garamond"/>
          <w:color w:val="202124"/>
          <w:sz w:val="24"/>
          <w:szCs w:val="24"/>
          <w:highlight w:val="white"/>
        </w:rPr>
      </w:pPr>
      <w:r>
        <w:rPr>
          <w:rFonts w:ascii="EB Garamond" w:eastAsia="EB Garamond" w:hAnsi="EB Garamond" w:cs="EB Garamond"/>
          <w:color w:val="202124"/>
          <w:sz w:val="24"/>
          <w:szCs w:val="24"/>
          <w:highlight w:val="white"/>
        </w:rPr>
        <w:t>The categorical variables examined tended to be dominat</w:t>
      </w:r>
      <w:r>
        <w:rPr>
          <w:rFonts w:ascii="EB Garamond" w:eastAsia="EB Garamond" w:hAnsi="EB Garamond" w:cs="EB Garamond"/>
          <w:color w:val="202124"/>
          <w:sz w:val="24"/>
          <w:szCs w:val="24"/>
          <w:highlight w:val="white"/>
        </w:rPr>
        <w:t>ed by one level, didn’t show the difference in interaction with other variables based on the category level, and therefore were dropped from the analysis.</w:t>
      </w:r>
    </w:p>
    <w:p w14:paraId="3721A831" w14:textId="77777777" w:rsidR="00DC59DB" w:rsidRDefault="00C6355D">
      <w:pPr>
        <w:widowControl w:val="0"/>
        <w:numPr>
          <w:ilvl w:val="0"/>
          <w:numId w:val="1"/>
        </w:numPr>
        <w:rPr>
          <w:rFonts w:ascii="EB Garamond" w:eastAsia="EB Garamond" w:hAnsi="EB Garamond" w:cs="EB Garamond"/>
          <w:color w:val="202124"/>
          <w:sz w:val="24"/>
          <w:szCs w:val="24"/>
          <w:highlight w:val="white"/>
        </w:rPr>
      </w:pPr>
      <w:r>
        <w:rPr>
          <w:rFonts w:ascii="EB Garamond" w:eastAsia="EB Garamond" w:hAnsi="EB Garamond" w:cs="EB Garamond"/>
          <w:color w:val="202124"/>
          <w:sz w:val="24"/>
          <w:szCs w:val="24"/>
          <w:highlight w:val="white"/>
        </w:rPr>
        <w:t>The numeric variables showed very high multicollinearity after calculating their VIF scores. After exploring various combinations, the final model used the community percentage of MFI, the community percentage of minority residents, and the number of 1-4 f</w:t>
      </w:r>
      <w:r>
        <w:rPr>
          <w:rFonts w:ascii="EB Garamond" w:eastAsia="EB Garamond" w:hAnsi="EB Garamond" w:cs="EB Garamond"/>
          <w:color w:val="202124"/>
          <w:sz w:val="24"/>
          <w:szCs w:val="24"/>
          <w:highlight w:val="white"/>
        </w:rPr>
        <w:t>amily homes as they all had VIF scores under 10.</w:t>
      </w:r>
    </w:p>
    <w:p w14:paraId="213E2436" w14:textId="77777777" w:rsidR="00DC59DB" w:rsidRDefault="00DC59DB">
      <w:pPr>
        <w:widowControl w:val="0"/>
        <w:spacing w:line="240" w:lineRule="auto"/>
        <w:rPr>
          <w:rFonts w:ascii="EB Garamond" w:eastAsia="EB Garamond" w:hAnsi="EB Garamond" w:cs="EB Garamond"/>
          <w:color w:val="202124"/>
          <w:sz w:val="24"/>
          <w:szCs w:val="24"/>
          <w:highlight w:val="white"/>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C59DB" w14:paraId="1C56E1D1" w14:textId="77777777">
        <w:trPr>
          <w:trHeight w:val="482"/>
        </w:trPr>
        <w:tc>
          <w:tcPr>
            <w:tcW w:w="4680" w:type="dxa"/>
            <w:tcBorders>
              <w:top w:val="nil"/>
              <w:left w:val="nil"/>
              <w:bottom w:val="single" w:sz="12" w:space="0" w:color="666666"/>
              <w:right w:val="nil"/>
            </w:tcBorders>
            <w:shd w:val="clear" w:color="auto" w:fill="FFFFFF"/>
            <w:tcMar>
              <w:top w:w="100" w:type="dxa"/>
              <w:left w:w="100" w:type="dxa"/>
              <w:bottom w:w="100" w:type="dxa"/>
              <w:right w:w="100" w:type="dxa"/>
            </w:tcMar>
          </w:tcPr>
          <w:p w14:paraId="67FFFF3C" w14:textId="77777777" w:rsidR="00DC59DB" w:rsidRDefault="00C6355D">
            <w:pPr>
              <w:widowControl w:val="0"/>
              <w:spacing w:after="240" w:line="240" w:lineRule="auto"/>
              <w:jc w:val="center"/>
              <w:rPr>
                <w:rFonts w:ascii="Bookman Old Style" w:eastAsia="Bookman Old Style" w:hAnsi="Bookman Old Style" w:cs="Bookman Old Style"/>
                <w:b/>
                <w:color w:val="1A202C"/>
                <w:sz w:val="24"/>
                <w:szCs w:val="24"/>
              </w:rPr>
            </w:pPr>
            <w:r>
              <w:rPr>
                <w:rFonts w:ascii="Bookman Old Style" w:eastAsia="Bookman Old Style" w:hAnsi="Bookman Old Style" w:cs="Bookman Old Style"/>
                <w:b/>
                <w:color w:val="1A202C"/>
                <w:sz w:val="24"/>
                <w:szCs w:val="24"/>
              </w:rPr>
              <w:t>Feature</w:t>
            </w:r>
          </w:p>
        </w:tc>
        <w:tc>
          <w:tcPr>
            <w:tcW w:w="4680" w:type="dxa"/>
            <w:tcBorders>
              <w:top w:val="nil"/>
              <w:left w:val="nil"/>
              <w:bottom w:val="single" w:sz="12" w:space="0" w:color="666666"/>
              <w:right w:val="nil"/>
            </w:tcBorders>
            <w:shd w:val="clear" w:color="auto" w:fill="FFFFFF"/>
            <w:tcMar>
              <w:top w:w="100" w:type="dxa"/>
              <w:left w:w="100" w:type="dxa"/>
              <w:bottom w:w="100" w:type="dxa"/>
              <w:right w:w="100" w:type="dxa"/>
            </w:tcMar>
          </w:tcPr>
          <w:p w14:paraId="62EF95E8" w14:textId="77777777" w:rsidR="00DC59DB" w:rsidRDefault="00C6355D">
            <w:pPr>
              <w:widowControl w:val="0"/>
              <w:spacing w:after="240" w:line="240" w:lineRule="auto"/>
              <w:jc w:val="center"/>
              <w:rPr>
                <w:rFonts w:ascii="Bookman Old Style" w:eastAsia="Bookman Old Style" w:hAnsi="Bookman Old Style" w:cs="Bookman Old Style"/>
                <w:b/>
                <w:color w:val="1A202C"/>
                <w:sz w:val="24"/>
                <w:szCs w:val="24"/>
              </w:rPr>
            </w:pPr>
            <w:r>
              <w:rPr>
                <w:rFonts w:ascii="Bookman Old Style" w:eastAsia="Bookman Old Style" w:hAnsi="Bookman Old Style" w:cs="Bookman Old Style"/>
                <w:b/>
                <w:color w:val="1A202C"/>
                <w:sz w:val="24"/>
                <w:szCs w:val="24"/>
              </w:rPr>
              <w:t>VIF Score</w:t>
            </w:r>
          </w:p>
        </w:tc>
      </w:tr>
      <w:tr w:rsidR="00DC59DB" w14:paraId="1AC13D17" w14:textId="77777777">
        <w:tc>
          <w:tcPr>
            <w:tcW w:w="4680" w:type="dxa"/>
            <w:tcBorders>
              <w:top w:val="nil"/>
              <w:left w:val="nil"/>
              <w:bottom w:val="single" w:sz="8" w:space="0" w:color="666666"/>
              <w:right w:val="nil"/>
            </w:tcBorders>
            <w:shd w:val="clear" w:color="auto" w:fill="CCCCCC"/>
            <w:tcMar>
              <w:top w:w="100" w:type="dxa"/>
              <w:left w:w="100" w:type="dxa"/>
              <w:bottom w:w="100" w:type="dxa"/>
              <w:right w:w="100" w:type="dxa"/>
            </w:tcMar>
          </w:tcPr>
          <w:p w14:paraId="4C21BE0E" w14:textId="77777777" w:rsidR="00DC59DB" w:rsidRDefault="00C6355D">
            <w:pPr>
              <w:widowControl w:val="0"/>
              <w:spacing w:line="240" w:lineRule="auto"/>
              <w:jc w:val="center"/>
              <w:rPr>
                <w:rFonts w:ascii="Bookman Old Style" w:eastAsia="Bookman Old Style" w:hAnsi="Bookman Old Style" w:cs="Bookman Old Style"/>
                <w:color w:val="1A202C"/>
                <w:sz w:val="24"/>
                <w:szCs w:val="24"/>
              </w:rPr>
            </w:pPr>
            <w:r>
              <w:rPr>
                <w:rFonts w:ascii="Bookman Old Style" w:eastAsia="Bookman Old Style" w:hAnsi="Bookman Old Style" w:cs="Bookman Old Style"/>
                <w:color w:val="1A202C"/>
                <w:sz w:val="24"/>
                <w:szCs w:val="24"/>
              </w:rPr>
              <w:t>Pop Minority %</w:t>
            </w:r>
          </w:p>
        </w:tc>
        <w:tc>
          <w:tcPr>
            <w:tcW w:w="4680" w:type="dxa"/>
            <w:tcBorders>
              <w:top w:val="nil"/>
              <w:left w:val="nil"/>
              <w:bottom w:val="single" w:sz="8" w:space="0" w:color="666666"/>
              <w:right w:val="nil"/>
            </w:tcBorders>
            <w:shd w:val="clear" w:color="auto" w:fill="CCCCCC"/>
            <w:tcMar>
              <w:top w:w="100" w:type="dxa"/>
              <w:left w:w="100" w:type="dxa"/>
              <w:bottom w:w="100" w:type="dxa"/>
              <w:right w:w="100" w:type="dxa"/>
            </w:tcMar>
          </w:tcPr>
          <w:p w14:paraId="45850297" w14:textId="77777777" w:rsidR="00DC59DB" w:rsidRDefault="00C6355D">
            <w:pPr>
              <w:widowControl w:val="0"/>
              <w:spacing w:line="240" w:lineRule="auto"/>
              <w:jc w:val="center"/>
              <w:rPr>
                <w:rFonts w:ascii="Bookman Old Style" w:eastAsia="Bookman Old Style" w:hAnsi="Bookman Old Style" w:cs="Bookman Old Style"/>
                <w:color w:val="1A202C"/>
                <w:sz w:val="24"/>
                <w:szCs w:val="24"/>
              </w:rPr>
            </w:pPr>
            <w:r>
              <w:rPr>
                <w:rFonts w:ascii="Bookman Old Style" w:eastAsia="Bookman Old Style" w:hAnsi="Bookman Old Style" w:cs="Bookman Old Style"/>
                <w:color w:val="1A202C"/>
                <w:sz w:val="24"/>
                <w:szCs w:val="24"/>
              </w:rPr>
              <w:t>3.098</w:t>
            </w:r>
          </w:p>
        </w:tc>
      </w:tr>
      <w:tr w:rsidR="00DC59DB" w14:paraId="053769CB" w14:textId="77777777">
        <w:tc>
          <w:tcPr>
            <w:tcW w:w="4680" w:type="dxa"/>
            <w:tcBorders>
              <w:top w:val="nil"/>
              <w:left w:val="nil"/>
              <w:bottom w:val="single" w:sz="8" w:space="0" w:color="666666"/>
              <w:right w:val="nil"/>
            </w:tcBorders>
            <w:tcMar>
              <w:top w:w="100" w:type="dxa"/>
              <w:left w:w="100" w:type="dxa"/>
              <w:bottom w:w="100" w:type="dxa"/>
              <w:right w:w="100" w:type="dxa"/>
            </w:tcMar>
          </w:tcPr>
          <w:p w14:paraId="025153DB" w14:textId="77777777" w:rsidR="00DC59DB" w:rsidRDefault="00C6355D">
            <w:pPr>
              <w:widowControl w:val="0"/>
              <w:spacing w:line="240" w:lineRule="auto"/>
              <w:jc w:val="center"/>
              <w:rPr>
                <w:rFonts w:ascii="Bookman Old Style" w:eastAsia="Bookman Old Style" w:hAnsi="Bookman Old Style" w:cs="Bookman Old Style"/>
                <w:color w:val="1A202C"/>
                <w:sz w:val="24"/>
                <w:szCs w:val="24"/>
              </w:rPr>
            </w:pPr>
            <w:r>
              <w:rPr>
                <w:rFonts w:ascii="Bookman Old Style" w:eastAsia="Bookman Old Style" w:hAnsi="Bookman Old Style" w:cs="Bookman Old Style"/>
                <w:color w:val="1A202C"/>
                <w:sz w:val="24"/>
                <w:szCs w:val="24"/>
              </w:rPr>
              <w:t>Community % of MFI</w:t>
            </w:r>
          </w:p>
        </w:tc>
        <w:tc>
          <w:tcPr>
            <w:tcW w:w="4680" w:type="dxa"/>
            <w:tcBorders>
              <w:top w:val="nil"/>
              <w:left w:val="nil"/>
              <w:bottom w:val="single" w:sz="8" w:space="0" w:color="666666"/>
              <w:right w:val="nil"/>
            </w:tcBorders>
            <w:tcMar>
              <w:top w:w="100" w:type="dxa"/>
              <w:left w:w="100" w:type="dxa"/>
              <w:bottom w:w="100" w:type="dxa"/>
              <w:right w:w="100" w:type="dxa"/>
            </w:tcMar>
          </w:tcPr>
          <w:p w14:paraId="050AAA64" w14:textId="77777777" w:rsidR="00DC59DB" w:rsidRDefault="00C6355D">
            <w:pPr>
              <w:widowControl w:val="0"/>
              <w:spacing w:line="240" w:lineRule="auto"/>
              <w:jc w:val="center"/>
              <w:rPr>
                <w:rFonts w:ascii="Bookman Old Style" w:eastAsia="Bookman Old Style" w:hAnsi="Bookman Old Style" w:cs="Bookman Old Style"/>
                <w:color w:val="1A202C"/>
                <w:sz w:val="24"/>
                <w:szCs w:val="24"/>
              </w:rPr>
            </w:pPr>
            <w:r>
              <w:rPr>
                <w:rFonts w:ascii="Bookman Old Style" w:eastAsia="Bookman Old Style" w:hAnsi="Bookman Old Style" w:cs="Bookman Old Style"/>
                <w:color w:val="1A202C"/>
                <w:sz w:val="24"/>
                <w:szCs w:val="24"/>
              </w:rPr>
              <w:t>3.396</w:t>
            </w:r>
          </w:p>
        </w:tc>
      </w:tr>
      <w:tr w:rsidR="00DC59DB" w14:paraId="05B80E23" w14:textId="77777777">
        <w:tc>
          <w:tcPr>
            <w:tcW w:w="4680" w:type="dxa"/>
            <w:tcBorders>
              <w:top w:val="nil"/>
              <w:left w:val="nil"/>
              <w:bottom w:val="single" w:sz="8" w:space="0" w:color="666666"/>
              <w:right w:val="nil"/>
            </w:tcBorders>
            <w:shd w:val="clear" w:color="auto" w:fill="CCCCCC"/>
            <w:tcMar>
              <w:top w:w="100" w:type="dxa"/>
              <w:left w:w="100" w:type="dxa"/>
              <w:bottom w:w="100" w:type="dxa"/>
              <w:right w:w="100" w:type="dxa"/>
            </w:tcMar>
          </w:tcPr>
          <w:p w14:paraId="39E24257" w14:textId="77777777" w:rsidR="00DC59DB" w:rsidRDefault="00C6355D">
            <w:pPr>
              <w:widowControl w:val="0"/>
              <w:spacing w:line="240" w:lineRule="auto"/>
              <w:jc w:val="center"/>
              <w:rPr>
                <w:rFonts w:ascii="Bookman Old Style" w:eastAsia="Bookman Old Style" w:hAnsi="Bookman Old Style" w:cs="Bookman Old Style"/>
                <w:color w:val="1A202C"/>
                <w:sz w:val="24"/>
                <w:szCs w:val="24"/>
              </w:rPr>
            </w:pPr>
            <w:r>
              <w:rPr>
                <w:rFonts w:ascii="Bookman Old Style" w:eastAsia="Bookman Old Style" w:hAnsi="Bookman Old Style" w:cs="Bookman Old Style"/>
                <w:color w:val="1A202C"/>
                <w:sz w:val="24"/>
                <w:szCs w:val="24"/>
              </w:rPr>
              <w:t>Num 1-4 Family Homes</w:t>
            </w:r>
          </w:p>
        </w:tc>
        <w:tc>
          <w:tcPr>
            <w:tcW w:w="4680" w:type="dxa"/>
            <w:tcBorders>
              <w:top w:val="nil"/>
              <w:left w:val="nil"/>
              <w:bottom w:val="single" w:sz="8" w:space="0" w:color="666666"/>
              <w:right w:val="nil"/>
            </w:tcBorders>
            <w:shd w:val="clear" w:color="auto" w:fill="CCCCCC"/>
            <w:tcMar>
              <w:top w:w="100" w:type="dxa"/>
              <w:left w:w="100" w:type="dxa"/>
              <w:bottom w:w="100" w:type="dxa"/>
              <w:right w:w="100" w:type="dxa"/>
            </w:tcMar>
          </w:tcPr>
          <w:p w14:paraId="3817D7A1" w14:textId="77777777" w:rsidR="00DC59DB" w:rsidRDefault="00C6355D">
            <w:pPr>
              <w:widowControl w:val="0"/>
              <w:spacing w:line="240" w:lineRule="auto"/>
              <w:jc w:val="center"/>
              <w:rPr>
                <w:rFonts w:ascii="Bookman Old Style" w:eastAsia="Bookman Old Style" w:hAnsi="Bookman Old Style" w:cs="Bookman Old Style"/>
                <w:color w:val="1A202C"/>
                <w:sz w:val="24"/>
                <w:szCs w:val="24"/>
              </w:rPr>
            </w:pPr>
            <w:r>
              <w:rPr>
                <w:rFonts w:ascii="Bookman Old Style" w:eastAsia="Bookman Old Style" w:hAnsi="Bookman Old Style" w:cs="Bookman Old Style"/>
                <w:color w:val="1A202C"/>
                <w:sz w:val="24"/>
                <w:szCs w:val="24"/>
              </w:rPr>
              <w:t>6.302</w:t>
            </w:r>
          </w:p>
        </w:tc>
      </w:tr>
    </w:tbl>
    <w:p w14:paraId="0103159B" w14:textId="77777777" w:rsidR="00DC59DB" w:rsidRDefault="00DC59DB">
      <w:pPr>
        <w:widowControl w:val="0"/>
        <w:spacing w:line="240" w:lineRule="auto"/>
        <w:rPr>
          <w:rFonts w:ascii="EB Garamond" w:eastAsia="EB Garamond" w:hAnsi="EB Garamond" w:cs="EB Garamond"/>
          <w:color w:val="202124"/>
          <w:sz w:val="24"/>
          <w:szCs w:val="24"/>
          <w:highlight w:val="white"/>
        </w:rPr>
      </w:pPr>
    </w:p>
    <w:p w14:paraId="6E609A52" w14:textId="77777777" w:rsidR="00DC59DB" w:rsidRDefault="00DC59DB">
      <w:pPr>
        <w:widowControl w:val="0"/>
        <w:ind w:left="720"/>
        <w:rPr>
          <w:rFonts w:ascii="EB Garamond" w:eastAsia="EB Garamond" w:hAnsi="EB Garamond" w:cs="EB Garamond"/>
          <w:color w:val="202124"/>
          <w:sz w:val="24"/>
          <w:szCs w:val="24"/>
          <w:highlight w:val="white"/>
        </w:rPr>
      </w:pPr>
    </w:p>
    <w:p w14:paraId="0B0D32C8" w14:textId="77777777" w:rsidR="00DC59DB" w:rsidRDefault="00C6355D">
      <w:pPr>
        <w:widowControl w:val="0"/>
        <w:rPr>
          <w:rFonts w:ascii="EB Garamond" w:eastAsia="EB Garamond" w:hAnsi="EB Garamond" w:cs="EB Garamond"/>
          <w:color w:val="202124"/>
          <w:sz w:val="24"/>
          <w:szCs w:val="24"/>
          <w:highlight w:val="white"/>
          <w:u w:val="single"/>
        </w:rPr>
      </w:pPr>
      <w:r>
        <w:rPr>
          <w:rFonts w:ascii="EB Garamond" w:eastAsia="EB Garamond" w:hAnsi="EB Garamond" w:cs="EB Garamond"/>
          <w:color w:val="202124"/>
          <w:sz w:val="24"/>
          <w:szCs w:val="24"/>
          <w:highlight w:val="white"/>
          <w:u w:val="single"/>
        </w:rPr>
        <w:t>Modeling</w:t>
      </w:r>
    </w:p>
    <w:p w14:paraId="1461CC65" w14:textId="77777777" w:rsidR="00DC59DB" w:rsidRDefault="00DC59DB">
      <w:pPr>
        <w:widowControl w:val="0"/>
        <w:rPr>
          <w:rFonts w:ascii="EB Garamond" w:eastAsia="EB Garamond" w:hAnsi="EB Garamond" w:cs="EB Garamond"/>
          <w:color w:val="202124"/>
          <w:sz w:val="24"/>
          <w:szCs w:val="24"/>
          <w:highlight w:val="white"/>
        </w:rPr>
      </w:pPr>
    </w:p>
    <w:p w14:paraId="06EAF8D7" w14:textId="77777777" w:rsidR="00DC59DB" w:rsidRDefault="00C6355D">
      <w:pPr>
        <w:widowControl w:val="0"/>
        <w:rPr>
          <w:rFonts w:ascii="EB Garamond" w:eastAsia="EB Garamond" w:hAnsi="EB Garamond" w:cs="EB Garamond"/>
          <w:color w:val="202124"/>
          <w:sz w:val="24"/>
          <w:szCs w:val="24"/>
          <w:highlight w:val="white"/>
        </w:rPr>
      </w:pPr>
      <w:r>
        <w:rPr>
          <w:rFonts w:ascii="EB Garamond" w:eastAsia="EB Garamond" w:hAnsi="EB Garamond" w:cs="EB Garamond"/>
          <w:color w:val="202124"/>
          <w:sz w:val="24"/>
          <w:szCs w:val="24"/>
          <w:highlight w:val="white"/>
        </w:rPr>
        <w:t>The goal of this analysis was to determine a baseline for how much of the variance in property value could be attributed to community characteristics, irrespective of the physical characteristics of the home. Thus, a linear regression model was used with a</w:t>
      </w:r>
      <w:r>
        <w:rPr>
          <w:rFonts w:ascii="EB Garamond" w:eastAsia="EB Garamond" w:hAnsi="EB Garamond" w:cs="EB Garamond"/>
          <w:color w:val="202124"/>
          <w:sz w:val="24"/>
          <w:szCs w:val="24"/>
          <w:highlight w:val="white"/>
        </w:rPr>
        <w:t xml:space="preserve"> focus on the adjusted r</w:t>
      </w:r>
      <w:r>
        <w:rPr>
          <w:rFonts w:ascii="EB Garamond" w:eastAsia="EB Garamond" w:hAnsi="EB Garamond" w:cs="EB Garamond"/>
          <w:color w:val="202124"/>
          <w:sz w:val="24"/>
          <w:szCs w:val="24"/>
          <w:highlight w:val="white"/>
          <w:vertAlign w:val="superscript"/>
        </w:rPr>
        <w:t>2</w:t>
      </w:r>
      <w:r>
        <w:rPr>
          <w:rFonts w:ascii="EB Garamond" w:eastAsia="EB Garamond" w:hAnsi="EB Garamond" w:cs="EB Garamond"/>
          <w:color w:val="202124"/>
          <w:sz w:val="24"/>
          <w:szCs w:val="24"/>
          <w:highlight w:val="white"/>
        </w:rPr>
        <w:t xml:space="preserve"> value.</w:t>
      </w:r>
    </w:p>
    <w:p w14:paraId="7F5901C8" w14:textId="77777777" w:rsidR="00DC59DB" w:rsidRDefault="00DC59DB">
      <w:pPr>
        <w:widowControl w:val="0"/>
        <w:spacing w:line="240" w:lineRule="auto"/>
        <w:rPr>
          <w:rFonts w:ascii="EB Garamond" w:eastAsia="EB Garamond" w:hAnsi="EB Garamond" w:cs="EB Garamond"/>
          <w:color w:val="202124"/>
          <w:sz w:val="24"/>
          <w:szCs w:val="24"/>
          <w:highlight w:val="white"/>
        </w:rPr>
      </w:pPr>
    </w:p>
    <w:tbl>
      <w:tblPr>
        <w:tblStyle w:val="a3"/>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40"/>
        <w:gridCol w:w="2340"/>
        <w:gridCol w:w="2340"/>
        <w:gridCol w:w="2340"/>
      </w:tblGrid>
      <w:tr w:rsidR="00DC59DB" w14:paraId="48EE70A3" w14:textId="77777777">
        <w:trPr>
          <w:trHeight w:val="482"/>
        </w:trPr>
        <w:tc>
          <w:tcPr>
            <w:tcW w:w="9360" w:type="dxa"/>
            <w:gridSpan w:val="4"/>
            <w:tcBorders>
              <w:top w:val="single" w:sz="4" w:space="0" w:color="000000"/>
              <w:left w:val="single" w:sz="4" w:space="0" w:color="000000"/>
              <w:bottom w:val="single" w:sz="4" w:space="0" w:color="666666"/>
              <w:right w:val="single" w:sz="4" w:space="0" w:color="000000"/>
            </w:tcBorders>
            <w:shd w:val="clear" w:color="auto" w:fill="FFFFFF"/>
            <w:tcMar>
              <w:top w:w="100" w:type="dxa"/>
              <w:left w:w="100" w:type="dxa"/>
              <w:bottom w:w="100" w:type="dxa"/>
              <w:right w:w="100" w:type="dxa"/>
            </w:tcMar>
          </w:tcPr>
          <w:p w14:paraId="14A63FE8" w14:textId="77777777" w:rsidR="00DC59DB" w:rsidRDefault="00C6355D">
            <w:pPr>
              <w:widowControl w:val="0"/>
              <w:spacing w:after="240" w:line="240" w:lineRule="auto"/>
              <w:jc w:val="center"/>
              <w:rPr>
                <w:rFonts w:ascii="Bookman Old Style" w:eastAsia="Bookman Old Style" w:hAnsi="Bookman Old Style" w:cs="Bookman Old Style"/>
                <w:b/>
                <w:color w:val="1A202C"/>
                <w:sz w:val="24"/>
                <w:szCs w:val="24"/>
              </w:rPr>
            </w:pPr>
            <w:r>
              <w:rPr>
                <w:rFonts w:ascii="Bookman Old Style" w:eastAsia="Bookman Old Style" w:hAnsi="Bookman Old Style" w:cs="Bookman Old Style"/>
                <w:b/>
                <w:color w:val="1A202C"/>
                <w:sz w:val="24"/>
                <w:szCs w:val="24"/>
              </w:rPr>
              <w:t>Model Comparisons</w:t>
            </w:r>
          </w:p>
        </w:tc>
      </w:tr>
      <w:tr w:rsidR="00DC59DB" w14:paraId="61732D2D" w14:textId="77777777">
        <w:trPr>
          <w:trHeight w:val="482"/>
        </w:trPr>
        <w:tc>
          <w:tcPr>
            <w:tcW w:w="2340" w:type="dxa"/>
            <w:tcBorders>
              <w:top w:val="single" w:sz="4" w:space="0" w:color="000000"/>
              <w:left w:val="single" w:sz="4" w:space="0" w:color="000000"/>
              <w:bottom w:val="single" w:sz="4" w:space="0" w:color="666666"/>
              <w:right w:val="single" w:sz="4" w:space="0" w:color="000000"/>
            </w:tcBorders>
            <w:shd w:val="clear" w:color="auto" w:fill="FFFFFF"/>
            <w:tcMar>
              <w:top w:w="100" w:type="dxa"/>
              <w:left w:w="100" w:type="dxa"/>
              <w:bottom w:w="100" w:type="dxa"/>
              <w:right w:w="100" w:type="dxa"/>
            </w:tcMar>
          </w:tcPr>
          <w:p w14:paraId="7E63F062" w14:textId="77777777" w:rsidR="00DC59DB" w:rsidRDefault="00C6355D">
            <w:pPr>
              <w:widowControl w:val="0"/>
              <w:spacing w:after="240" w:line="240" w:lineRule="auto"/>
              <w:jc w:val="center"/>
              <w:rPr>
                <w:rFonts w:ascii="Bookman Old Style" w:eastAsia="Bookman Old Style" w:hAnsi="Bookman Old Style" w:cs="Bookman Old Style"/>
                <w:b/>
                <w:color w:val="1A202C"/>
                <w:sz w:val="24"/>
                <w:szCs w:val="24"/>
              </w:rPr>
            </w:pPr>
            <w:r>
              <w:rPr>
                <w:rFonts w:ascii="Bookman Old Style" w:eastAsia="Bookman Old Style" w:hAnsi="Bookman Old Style" w:cs="Bookman Old Style"/>
                <w:b/>
                <w:color w:val="1A202C"/>
                <w:sz w:val="24"/>
                <w:szCs w:val="24"/>
              </w:rPr>
              <w:t>Model</w:t>
            </w:r>
          </w:p>
        </w:tc>
        <w:tc>
          <w:tcPr>
            <w:tcW w:w="2340" w:type="dxa"/>
            <w:tcBorders>
              <w:top w:val="single" w:sz="4" w:space="0" w:color="000000"/>
              <w:left w:val="single" w:sz="4" w:space="0" w:color="000000"/>
              <w:bottom w:val="single" w:sz="4" w:space="0" w:color="666666"/>
              <w:right w:val="single" w:sz="4" w:space="0" w:color="000000"/>
            </w:tcBorders>
            <w:shd w:val="clear" w:color="auto" w:fill="FFFFFF"/>
            <w:tcMar>
              <w:top w:w="100" w:type="dxa"/>
              <w:left w:w="100" w:type="dxa"/>
              <w:bottom w:w="100" w:type="dxa"/>
              <w:right w:w="100" w:type="dxa"/>
            </w:tcMar>
          </w:tcPr>
          <w:p w14:paraId="5B09D144" w14:textId="77777777" w:rsidR="00DC59DB" w:rsidRDefault="00C6355D">
            <w:pPr>
              <w:widowControl w:val="0"/>
              <w:spacing w:after="240" w:line="240" w:lineRule="auto"/>
              <w:jc w:val="center"/>
              <w:rPr>
                <w:rFonts w:ascii="Bookman Old Style" w:eastAsia="Bookman Old Style" w:hAnsi="Bookman Old Style" w:cs="Bookman Old Style"/>
                <w:b/>
                <w:color w:val="1A202C"/>
                <w:sz w:val="24"/>
                <w:szCs w:val="24"/>
                <w:vertAlign w:val="superscript"/>
              </w:rPr>
            </w:pPr>
            <w:r>
              <w:rPr>
                <w:rFonts w:ascii="Bookman Old Style" w:eastAsia="Bookman Old Style" w:hAnsi="Bookman Old Style" w:cs="Bookman Old Style"/>
                <w:b/>
                <w:color w:val="1A202C"/>
                <w:sz w:val="24"/>
                <w:szCs w:val="24"/>
              </w:rPr>
              <w:t>Adjusted r</w:t>
            </w:r>
            <w:r>
              <w:rPr>
                <w:rFonts w:ascii="Bookman Old Style" w:eastAsia="Bookman Old Style" w:hAnsi="Bookman Old Style" w:cs="Bookman Old Style"/>
                <w:b/>
                <w:color w:val="1A202C"/>
                <w:sz w:val="24"/>
                <w:szCs w:val="24"/>
                <w:vertAlign w:val="superscript"/>
              </w:rPr>
              <w:t>2</w:t>
            </w:r>
          </w:p>
        </w:tc>
        <w:tc>
          <w:tcPr>
            <w:tcW w:w="2340" w:type="dxa"/>
            <w:tcBorders>
              <w:top w:val="single" w:sz="4" w:space="0" w:color="000000"/>
              <w:left w:val="single" w:sz="4" w:space="0" w:color="000000"/>
              <w:bottom w:val="single" w:sz="4" w:space="0" w:color="666666"/>
              <w:right w:val="single" w:sz="4" w:space="0" w:color="000000"/>
            </w:tcBorders>
            <w:shd w:val="clear" w:color="auto" w:fill="FFFFFF"/>
            <w:tcMar>
              <w:top w:w="100" w:type="dxa"/>
              <w:left w:w="100" w:type="dxa"/>
              <w:bottom w:w="100" w:type="dxa"/>
              <w:right w:w="100" w:type="dxa"/>
            </w:tcMar>
          </w:tcPr>
          <w:p w14:paraId="22AE0CAD" w14:textId="77777777" w:rsidR="00DC59DB" w:rsidRDefault="00C6355D">
            <w:pPr>
              <w:widowControl w:val="0"/>
              <w:spacing w:after="240" w:line="240" w:lineRule="auto"/>
              <w:jc w:val="center"/>
              <w:rPr>
                <w:rFonts w:ascii="Bookman Old Style" w:eastAsia="Bookman Old Style" w:hAnsi="Bookman Old Style" w:cs="Bookman Old Style"/>
                <w:b/>
                <w:color w:val="1A202C"/>
                <w:sz w:val="24"/>
                <w:szCs w:val="24"/>
              </w:rPr>
            </w:pPr>
            <w:r>
              <w:rPr>
                <w:rFonts w:ascii="Bookman Old Style" w:eastAsia="Bookman Old Style" w:hAnsi="Bookman Old Style" w:cs="Bookman Old Style"/>
                <w:b/>
                <w:color w:val="1A202C"/>
                <w:sz w:val="24"/>
                <w:szCs w:val="24"/>
              </w:rPr>
              <w:t>P-Values</w:t>
            </w:r>
          </w:p>
        </w:tc>
        <w:tc>
          <w:tcPr>
            <w:tcW w:w="2340" w:type="dxa"/>
            <w:tcBorders>
              <w:top w:val="single" w:sz="4" w:space="0" w:color="000000"/>
              <w:left w:val="single" w:sz="4" w:space="0" w:color="000000"/>
              <w:bottom w:val="single" w:sz="4" w:space="0" w:color="666666"/>
              <w:right w:val="single" w:sz="4" w:space="0" w:color="000000"/>
            </w:tcBorders>
            <w:shd w:val="clear" w:color="auto" w:fill="FFFFFF"/>
            <w:tcMar>
              <w:top w:w="100" w:type="dxa"/>
              <w:left w:w="100" w:type="dxa"/>
              <w:bottom w:w="100" w:type="dxa"/>
              <w:right w:w="100" w:type="dxa"/>
            </w:tcMar>
          </w:tcPr>
          <w:p w14:paraId="0A28FCB4" w14:textId="77777777" w:rsidR="00DC59DB" w:rsidRDefault="00C6355D">
            <w:pPr>
              <w:widowControl w:val="0"/>
              <w:spacing w:after="240" w:line="240" w:lineRule="auto"/>
              <w:jc w:val="center"/>
              <w:rPr>
                <w:rFonts w:ascii="Bookman Old Style" w:eastAsia="Bookman Old Style" w:hAnsi="Bookman Old Style" w:cs="Bookman Old Style"/>
                <w:b/>
                <w:color w:val="1A202C"/>
                <w:sz w:val="24"/>
                <w:szCs w:val="24"/>
              </w:rPr>
            </w:pPr>
            <w:r>
              <w:rPr>
                <w:rFonts w:ascii="Bookman Old Style" w:eastAsia="Bookman Old Style" w:hAnsi="Bookman Old Style" w:cs="Bookman Old Style"/>
                <w:b/>
                <w:color w:val="1A202C"/>
                <w:sz w:val="24"/>
                <w:szCs w:val="24"/>
              </w:rPr>
              <w:t>VIF Score</w:t>
            </w:r>
          </w:p>
        </w:tc>
      </w:tr>
      <w:tr w:rsidR="00DC59DB" w14:paraId="195DDD20" w14:textId="77777777">
        <w:tc>
          <w:tcPr>
            <w:tcW w:w="2340" w:type="dxa"/>
            <w:tcBorders>
              <w:top w:val="single" w:sz="4" w:space="0" w:color="000000"/>
              <w:left w:val="single" w:sz="4" w:space="0" w:color="000000"/>
              <w:bottom w:val="single" w:sz="4" w:space="0" w:color="666666"/>
              <w:right w:val="single" w:sz="4" w:space="0" w:color="000000"/>
            </w:tcBorders>
            <w:shd w:val="clear" w:color="auto" w:fill="CCCCCC"/>
            <w:tcMar>
              <w:top w:w="100" w:type="dxa"/>
              <w:left w:w="100" w:type="dxa"/>
              <w:bottom w:w="100" w:type="dxa"/>
              <w:right w:w="100" w:type="dxa"/>
            </w:tcMar>
          </w:tcPr>
          <w:p w14:paraId="1A99027F" w14:textId="77777777" w:rsidR="00DC59DB" w:rsidRDefault="00C6355D">
            <w:pPr>
              <w:widowControl w:val="0"/>
              <w:spacing w:line="240" w:lineRule="auto"/>
              <w:jc w:val="center"/>
              <w:rPr>
                <w:rFonts w:ascii="Bookman Old Style" w:eastAsia="Bookman Old Style" w:hAnsi="Bookman Old Style" w:cs="Bookman Old Style"/>
                <w:color w:val="1A202C"/>
                <w:sz w:val="24"/>
                <w:szCs w:val="24"/>
              </w:rPr>
            </w:pPr>
            <w:r>
              <w:rPr>
                <w:rFonts w:ascii="Bookman Old Style" w:eastAsia="Bookman Old Style" w:hAnsi="Bookman Old Style" w:cs="Bookman Old Style"/>
                <w:color w:val="1A202C"/>
                <w:sz w:val="24"/>
                <w:szCs w:val="24"/>
              </w:rPr>
              <w:t>All Variables</w:t>
            </w:r>
          </w:p>
        </w:tc>
        <w:tc>
          <w:tcPr>
            <w:tcW w:w="2340" w:type="dxa"/>
            <w:tcBorders>
              <w:top w:val="single" w:sz="4" w:space="0" w:color="000000"/>
              <w:left w:val="single" w:sz="4" w:space="0" w:color="000000"/>
              <w:bottom w:val="single" w:sz="4" w:space="0" w:color="666666"/>
              <w:right w:val="single" w:sz="4" w:space="0" w:color="000000"/>
            </w:tcBorders>
            <w:shd w:val="clear" w:color="auto" w:fill="CCCCCC"/>
            <w:tcMar>
              <w:top w:w="100" w:type="dxa"/>
              <w:left w:w="100" w:type="dxa"/>
              <w:bottom w:w="100" w:type="dxa"/>
              <w:right w:w="100" w:type="dxa"/>
            </w:tcMar>
          </w:tcPr>
          <w:p w14:paraId="7B01923B" w14:textId="77777777" w:rsidR="00DC59DB" w:rsidRDefault="00C6355D">
            <w:pPr>
              <w:widowControl w:val="0"/>
              <w:spacing w:line="240" w:lineRule="auto"/>
              <w:jc w:val="center"/>
              <w:rPr>
                <w:rFonts w:ascii="Bookman Old Style" w:eastAsia="Bookman Old Style" w:hAnsi="Bookman Old Style" w:cs="Bookman Old Style"/>
                <w:color w:val="1A202C"/>
                <w:sz w:val="24"/>
                <w:szCs w:val="24"/>
              </w:rPr>
            </w:pPr>
            <w:r>
              <w:rPr>
                <w:rFonts w:ascii="Bookman Old Style" w:eastAsia="Bookman Old Style" w:hAnsi="Bookman Old Style" w:cs="Bookman Old Style"/>
                <w:color w:val="1A202C"/>
                <w:sz w:val="24"/>
                <w:szCs w:val="24"/>
              </w:rPr>
              <w:t>0.299</w:t>
            </w:r>
          </w:p>
        </w:tc>
        <w:tc>
          <w:tcPr>
            <w:tcW w:w="2340" w:type="dxa"/>
            <w:tcBorders>
              <w:top w:val="single" w:sz="4" w:space="0" w:color="000000"/>
              <w:left w:val="single" w:sz="4" w:space="0" w:color="000000"/>
              <w:bottom w:val="single" w:sz="4" w:space="0" w:color="666666"/>
              <w:right w:val="single" w:sz="4" w:space="0" w:color="000000"/>
            </w:tcBorders>
            <w:shd w:val="clear" w:color="auto" w:fill="CCCCCC"/>
            <w:tcMar>
              <w:top w:w="100" w:type="dxa"/>
              <w:left w:w="100" w:type="dxa"/>
              <w:bottom w:w="100" w:type="dxa"/>
              <w:right w:w="100" w:type="dxa"/>
            </w:tcMar>
          </w:tcPr>
          <w:p w14:paraId="0653E84F" w14:textId="77777777" w:rsidR="00DC59DB" w:rsidRDefault="00C6355D">
            <w:pPr>
              <w:widowControl w:val="0"/>
              <w:spacing w:line="240" w:lineRule="auto"/>
              <w:jc w:val="center"/>
              <w:rPr>
                <w:rFonts w:ascii="Bookman Old Style" w:eastAsia="Bookman Old Style" w:hAnsi="Bookman Old Style" w:cs="Bookman Old Style"/>
                <w:color w:val="1A202C"/>
                <w:sz w:val="24"/>
                <w:szCs w:val="24"/>
              </w:rPr>
            </w:pPr>
            <w:r>
              <w:rPr>
                <w:rFonts w:ascii="Bookman Old Style" w:eastAsia="Bookman Old Style" w:hAnsi="Bookman Old Style" w:cs="Bookman Old Style"/>
                <w:color w:val="1A202C"/>
                <w:sz w:val="24"/>
                <w:szCs w:val="24"/>
              </w:rPr>
              <w:t>All low</w:t>
            </w:r>
          </w:p>
        </w:tc>
        <w:tc>
          <w:tcPr>
            <w:tcW w:w="2340" w:type="dxa"/>
            <w:tcBorders>
              <w:top w:val="single" w:sz="4" w:space="0" w:color="000000"/>
              <w:left w:val="single" w:sz="4" w:space="0" w:color="000000"/>
              <w:bottom w:val="single" w:sz="4" w:space="0" w:color="666666"/>
              <w:right w:val="single" w:sz="4" w:space="0" w:color="000000"/>
            </w:tcBorders>
            <w:shd w:val="clear" w:color="auto" w:fill="CCCCCC"/>
            <w:tcMar>
              <w:top w:w="100" w:type="dxa"/>
              <w:left w:w="100" w:type="dxa"/>
              <w:bottom w:w="100" w:type="dxa"/>
              <w:right w:w="100" w:type="dxa"/>
            </w:tcMar>
          </w:tcPr>
          <w:p w14:paraId="5C03D060" w14:textId="77777777" w:rsidR="00DC59DB" w:rsidRDefault="00C6355D">
            <w:pPr>
              <w:widowControl w:val="0"/>
              <w:spacing w:line="240" w:lineRule="auto"/>
              <w:jc w:val="center"/>
              <w:rPr>
                <w:rFonts w:ascii="Bookman Old Style" w:eastAsia="Bookman Old Style" w:hAnsi="Bookman Old Style" w:cs="Bookman Old Style"/>
                <w:color w:val="1A202C"/>
                <w:sz w:val="24"/>
                <w:szCs w:val="24"/>
              </w:rPr>
            </w:pPr>
            <w:r>
              <w:rPr>
                <w:rFonts w:ascii="Bookman Old Style" w:eastAsia="Bookman Old Style" w:hAnsi="Bookman Old Style" w:cs="Bookman Old Style"/>
                <w:color w:val="1A202C"/>
                <w:sz w:val="24"/>
                <w:szCs w:val="24"/>
              </w:rPr>
              <w:t>Very High (10+)</w:t>
            </w:r>
          </w:p>
        </w:tc>
      </w:tr>
      <w:tr w:rsidR="00DC59DB" w14:paraId="46661AEF" w14:textId="77777777">
        <w:tc>
          <w:tcPr>
            <w:tcW w:w="2340" w:type="dxa"/>
            <w:tcBorders>
              <w:top w:val="single" w:sz="4" w:space="0" w:color="000000"/>
              <w:left w:val="single" w:sz="4" w:space="0" w:color="000000"/>
              <w:bottom w:val="single" w:sz="4" w:space="0" w:color="666666"/>
              <w:right w:val="single" w:sz="4" w:space="0" w:color="000000"/>
            </w:tcBorders>
            <w:tcMar>
              <w:top w:w="100" w:type="dxa"/>
              <w:left w:w="100" w:type="dxa"/>
              <w:bottom w:w="100" w:type="dxa"/>
              <w:right w:w="100" w:type="dxa"/>
            </w:tcMar>
          </w:tcPr>
          <w:p w14:paraId="40F8DDD5" w14:textId="77777777" w:rsidR="00DC59DB" w:rsidRDefault="00C6355D">
            <w:pPr>
              <w:widowControl w:val="0"/>
              <w:spacing w:line="240" w:lineRule="auto"/>
              <w:jc w:val="center"/>
              <w:rPr>
                <w:rFonts w:ascii="Bookman Old Style" w:eastAsia="Bookman Old Style" w:hAnsi="Bookman Old Style" w:cs="Bookman Old Style"/>
                <w:color w:val="1A202C"/>
                <w:sz w:val="24"/>
                <w:szCs w:val="24"/>
              </w:rPr>
            </w:pPr>
            <w:r>
              <w:rPr>
                <w:rFonts w:ascii="Bookman Old Style" w:eastAsia="Bookman Old Style" w:hAnsi="Bookman Old Style" w:cs="Bookman Old Style"/>
                <w:color w:val="1A202C"/>
                <w:sz w:val="24"/>
                <w:szCs w:val="24"/>
              </w:rPr>
              <w:t>Only Community Variables</w:t>
            </w:r>
          </w:p>
        </w:tc>
        <w:tc>
          <w:tcPr>
            <w:tcW w:w="2340" w:type="dxa"/>
            <w:tcBorders>
              <w:top w:val="single" w:sz="4" w:space="0" w:color="000000"/>
              <w:left w:val="single" w:sz="4" w:space="0" w:color="000000"/>
              <w:bottom w:val="single" w:sz="4" w:space="0" w:color="666666"/>
              <w:right w:val="single" w:sz="4" w:space="0" w:color="000000"/>
            </w:tcBorders>
            <w:tcMar>
              <w:top w:w="100" w:type="dxa"/>
              <w:left w:w="100" w:type="dxa"/>
              <w:bottom w:w="100" w:type="dxa"/>
              <w:right w:w="100" w:type="dxa"/>
            </w:tcMar>
          </w:tcPr>
          <w:p w14:paraId="2662F99D" w14:textId="77777777" w:rsidR="00DC59DB" w:rsidRDefault="00C6355D">
            <w:pPr>
              <w:widowControl w:val="0"/>
              <w:spacing w:line="240" w:lineRule="auto"/>
              <w:jc w:val="center"/>
              <w:rPr>
                <w:rFonts w:ascii="Bookman Old Style" w:eastAsia="Bookman Old Style" w:hAnsi="Bookman Old Style" w:cs="Bookman Old Style"/>
                <w:color w:val="1A202C"/>
                <w:sz w:val="24"/>
                <w:szCs w:val="24"/>
              </w:rPr>
            </w:pPr>
            <w:r>
              <w:rPr>
                <w:rFonts w:ascii="Bookman Old Style" w:eastAsia="Bookman Old Style" w:hAnsi="Bookman Old Style" w:cs="Bookman Old Style"/>
                <w:color w:val="1A202C"/>
                <w:sz w:val="24"/>
                <w:szCs w:val="24"/>
              </w:rPr>
              <w:t>0.255</w:t>
            </w:r>
          </w:p>
        </w:tc>
        <w:tc>
          <w:tcPr>
            <w:tcW w:w="2340" w:type="dxa"/>
            <w:tcBorders>
              <w:top w:val="single" w:sz="4" w:space="0" w:color="000000"/>
              <w:left w:val="single" w:sz="4" w:space="0" w:color="000000"/>
              <w:bottom w:val="single" w:sz="4" w:space="0" w:color="666666"/>
              <w:right w:val="single" w:sz="4" w:space="0" w:color="000000"/>
            </w:tcBorders>
            <w:tcMar>
              <w:top w:w="100" w:type="dxa"/>
              <w:left w:w="100" w:type="dxa"/>
              <w:bottom w:w="100" w:type="dxa"/>
              <w:right w:w="100" w:type="dxa"/>
            </w:tcMar>
          </w:tcPr>
          <w:p w14:paraId="3E0ECF95" w14:textId="77777777" w:rsidR="00DC59DB" w:rsidRDefault="00C6355D">
            <w:pPr>
              <w:widowControl w:val="0"/>
              <w:spacing w:line="240" w:lineRule="auto"/>
              <w:jc w:val="center"/>
              <w:rPr>
                <w:rFonts w:ascii="Bookman Old Style" w:eastAsia="Bookman Old Style" w:hAnsi="Bookman Old Style" w:cs="Bookman Old Style"/>
                <w:color w:val="1A202C"/>
                <w:sz w:val="24"/>
                <w:szCs w:val="24"/>
              </w:rPr>
            </w:pPr>
            <w:r>
              <w:rPr>
                <w:rFonts w:ascii="Bookman Old Style" w:eastAsia="Bookman Old Style" w:hAnsi="Bookman Old Style" w:cs="Bookman Old Style"/>
                <w:color w:val="1A202C"/>
                <w:sz w:val="24"/>
                <w:szCs w:val="24"/>
              </w:rPr>
              <w:t>All low</w:t>
            </w:r>
          </w:p>
        </w:tc>
        <w:tc>
          <w:tcPr>
            <w:tcW w:w="2340" w:type="dxa"/>
            <w:tcBorders>
              <w:top w:val="single" w:sz="4" w:space="0" w:color="000000"/>
              <w:left w:val="single" w:sz="4" w:space="0" w:color="000000"/>
              <w:bottom w:val="single" w:sz="4" w:space="0" w:color="666666"/>
              <w:right w:val="single" w:sz="4" w:space="0" w:color="000000"/>
            </w:tcBorders>
            <w:tcMar>
              <w:top w:w="100" w:type="dxa"/>
              <w:left w:w="100" w:type="dxa"/>
              <w:bottom w:w="100" w:type="dxa"/>
              <w:right w:w="100" w:type="dxa"/>
            </w:tcMar>
          </w:tcPr>
          <w:p w14:paraId="593E4EE9" w14:textId="77777777" w:rsidR="00DC59DB" w:rsidRDefault="00C6355D">
            <w:pPr>
              <w:widowControl w:val="0"/>
              <w:spacing w:line="240" w:lineRule="auto"/>
              <w:jc w:val="center"/>
              <w:rPr>
                <w:rFonts w:ascii="Bookman Old Style" w:eastAsia="Bookman Old Style" w:hAnsi="Bookman Old Style" w:cs="Bookman Old Style"/>
                <w:color w:val="1A202C"/>
                <w:sz w:val="24"/>
                <w:szCs w:val="24"/>
              </w:rPr>
            </w:pPr>
            <w:r>
              <w:rPr>
                <w:rFonts w:ascii="Bookman Old Style" w:eastAsia="Bookman Old Style" w:hAnsi="Bookman Old Style" w:cs="Bookman Old Style"/>
                <w:color w:val="1A202C"/>
                <w:sz w:val="24"/>
                <w:szCs w:val="24"/>
              </w:rPr>
              <w:t>Very High (10+)</w:t>
            </w:r>
          </w:p>
        </w:tc>
      </w:tr>
      <w:tr w:rsidR="00DC59DB" w14:paraId="34031B3E" w14:textId="77777777">
        <w:tc>
          <w:tcPr>
            <w:tcW w:w="2340" w:type="dxa"/>
            <w:tcBorders>
              <w:top w:val="single" w:sz="4" w:space="0" w:color="000000"/>
              <w:left w:val="single" w:sz="4" w:space="0" w:color="000000"/>
              <w:bottom w:val="single" w:sz="4" w:space="0" w:color="666666"/>
              <w:right w:val="single" w:sz="4" w:space="0" w:color="000000"/>
            </w:tcBorders>
            <w:shd w:val="clear" w:color="auto" w:fill="CCCCCC"/>
            <w:tcMar>
              <w:top w:w="100" w:type="dxa"/>
              <w:left w:w="100" w:type="dxa"/>
              <w:bottom w:w="100" w:type="dxa"/>
              <w:right w:w="100" w:type="dxa"/>
            </w:tcMar>
          </w:tcPr>
          <w:p w14:paraId="562417F1" w14:textId="77777777" w:rsidR="00DC59DB" w:rsidRDefault="00C6355D">
            <w:pPr>
              <w:widowControl w:val="0"/>
              <w:spacing w:line="240" w:lineRule="auto"/>
              <w:jc w:val="center"/>
              <w:rPr>
                <w:rFonts w:ascii="Bookman Old Style" w:eastAsia="Bookman Old Style" w:hAnsi="Bookman Old Style" w:cs="Bookman Old Style"/>
                <w:color w:val="1A202C"/>
                <w:sz w:val="24"/>
                <w:szCs w:val="24"/>
              </w:rPr>
            </w:pPr>
            <w:r>
              <w:rPr>
                <w:rFonts w:ascii="Bookman Old Style" w:eastAsia="Bookman Old Style" w:hAnsi="Bookman Old Style" w:cs="Bookman Old Style"/>
                <w:color w:val="1A202C"/>
                <w:sz w:val="24"/>
                <w:szCs w:val="24"/>
              </w:rPr>
              <w:t>Only Low VIF Variables</w:t>
            </w:r>
          </w:p>
        </w:tc>
        <w:tc>
          <w:tcPr>
            <w:tcW w:w="2340" w:type="dxa"/>
            <w:tcBorders>
              <w:top w:val="single" w:sz="4" w:space="0" w:color="000000"/>
              <w:left w:val="single" w:sz="4" w:space="0" w:color="000000"/>
              <w:bottom w:val="single" w:sz="4" w:space="0" w:color="666666"/>
              <w:right w:val="single" w:sz="4" w:space="0" w:color="000000"/>
            </w:tcBorders>
            <w:shd w:val="clear" w:color="auto" w:fill="CCCCCC"/>
            <w:tcMar>
              <w:top w:w="100" w:type="dxa"/>
              <w:left w:w="100" w:type="dxa"/>
              <w:bottom w:w="100" w:type="dxa"/>
              <w:right w:w="100" w:type="dxa"/>
            </w:tcMar>
          </w:tcPr>
          <w:p w14:paraId="41B75F94" w14:textId="77777777" w:rsidR="00DC59DB" w:rsidRDefault="00C6355D">
            <w:pPr>
              <w:widowControl w:val="0"/>
              <w:spacing w:line="240" w:lineRule="auto"/>
              <w:jc w:val="center"/>
              <w:rPr>
                <w:rFonts w:ascii="Bookman Old Style" w:eastAsia="Bookman Old Style" w:hAnsi="Bookman Old Style" w:cs="Bookman Old Style"/>
                <w:color w:val="1A202C"/>
                <w:sz w:val="24"/>
                <w:szCs w:val="24"/>
              </w:rPr>
            </w:pPr>
            <w:r>
              <w:rPr>
                <w:rFonts w:ascii="Bookman Old Style" w:eastAsia="Bookman Old Style" w:hAnsi="Bookman Old Style" w:cs="Bookman Old Style"/>
                <w:color w:val="1A202C"/>
                <w:sz w:val="24"/>
                <w:szCs w:val="24"/>
              </w:rPr>
              <w:t>0.235</w:t>
            </w:r>
          </w:p>
        </w:tc>
        <w:tc>
          <w:tcPr>
            <w:tcW w:w="2340" w:type="dxa"/>
            <w:tcBorders>
              <w:top w:val="single" w:sz="4" w:space="0" w:color="000000"/>
              <w:left w:val="single" w:sz="4" w:space="0" w:color="000000"/>
              <w:bottom w:val="single" w:sz="4" w:space="0" w:color="666666"/>
              <w:right w:val="single" w:sz="4" w:space="0" w:color="000000"/>
            </w:tcBorders>
            <w:shd w:val="clear" w:color="auto" w:fill="CCCCCC"/>
            <w:tcMar>
              <w:top w:w="100" w:type="dxa"/>
              <w:left w:w="100" w:type="dxa"/>
              <w:bottom w:w="100" w:type="dxa"/>
              <w:right w:w="100" w:type="dxa"/>
            </w:tcMar>
          </w:tcPr>
          <w:p w14:paraId="32DA813D" w14:textId="77777777" w:rsidR="00DC59DB" w:rsidRDefault="00C6355D">
            <w:pPr>
              <w:widowControl w:val="0"/>
              <w:spacing w:line="240" w:lineRule="auto"/>
              <w:jc w:val="center"/>
              <w:rPr>
                <w:rFonts w:ascii="Bookman Old Style" w:eastAsia="Bookman Old Style" w:hAnsi="Bookman Old Style" w:cs="Bookman Old Style"/>
                <w:color w:val="1A202C"/>
                <w:sz w:val="24"/>
                <w:szCs w:val="24"/>
              </w:rPr>
            </w:pPr>
            <w:r>
              <w:rPr>
                <w:rFonts w:ascii="Bookman Old Style" w:eastAsia="Bookman Old Style" w:hAnsi="Bookman Old Style" w:cs="Bookman Old Style"/>
                <w:color w:val="1A202C"/>
                <w:sz w:val="24"/>
                <w:szCs w:val="24"/>
              </w:rPr>
              <w:t>All low</w:t>
            </w:r>
          </w:p>
        </w:tc>
        <w:tc>
          <w:tcPr>
            <w:tcW w:w="2340" w:type="dxa"/>
            <w:tcBorders>
              <w:top w:val="single" w:sz="4" w:space="0" w:color="000000"/>
              <w:left w:val="single" w:sz="4" w:space="0" w:color="000000"/>
              <w:bottom w:val="single" w:sz="4" w:space="0" w:color="666666"/>
              <w:right w:val="single" w:sz="4" w:space="0" w:color="000000"/>
            </w:tcBorders>
            <w:shd w:val="clear" w:color="auto" w:fill="CCCCCC"/>
            <w:tcMar>
              <w:top w:w="100" w:type="dxa"/>
              <w:left w:w="100" w:type="dxa"/>
              <w:bottom w:w="100" w:type="dxa"/>
              <w:right w:w="100" w:type="dxa"/>
            </w:tcMar>
          </w:tcPr>
          <w:p w14:paraId="039CDE26" w14:textId="77777777" w:rsidR="00DC59DB" w:rsidRDefault="00C6355D">
            <w:pPr>
              <w:widowControl w:val="0"/>
              <w:spacing w:line="240" w:lineRule="auto"/>
              <w:jc w:val="center"/>
              <w:rPr>
                <w:rFonts w:ascii="Bookman Old Style" w:eastAsia="Bookman Old Style" w:hAnsi="Bookman Old Style" w:cs="Bookman Old Style"/>
                <w:color w:val="1A202C"/>
                <w:sz w:val="24"/>
                <w:szCs w:val="24"/>
              </w:rPr>
            </w:pPr>
            <w:r>
              <w:rPr>
                <w:rFonts w:ascii="Bookman Old Style" w:eastAsia="Bookman Old Style" w:hAnsi="Bookman Old Style" w:cs="Bookman Old Style"/>
                <w:color w:val="1A202C"/>
                <w:sz w:val="24"/>
                <w:szCs w:val="24"/>
              </w:rPr>
              <w:t>Lower (~3-6)</w:t>
            </w:r>
          </w:p>
        </w:tc>
      </w:tr>
    </w:tbl>
    <w:p w14:paraId="7638DF47" w14:textId="77777777" w:rsidR="00DC59DB" w:rsidRDefault="00DC59DB">
      <w:pPr>
        <w:widowControl w:val="0"/>
        <w:spacing w:line="240" w:lineRule="auto"/>
        <w:rPr>
          <w:rFonts w:ascii="EB Garamond" w:eastAsia="EB Garamond" w:hAnsi="EB Garamond" w:cs="EB Garamond"/>
          <w:color w:val="202124"/>
          <w:sz w:val="24"/>
          <w:szCs w:val="24"/>
          <w:highlight w:val="white"/>
        </w:rPr>
      </w:pPr>
    </w:p>
    <w:p w14:paraId="7EDAAB1D" w14:textId="77777777" w:rsidR="00DC59DB" w:rsidRDefault="00C6355D">
      <w:pPr>
        <w:widowControl w:val="0"/>
        <w:numPr>
          <w:ilvl w:val="0"/>
          <w:numId w:val="3"/>
        </w:numPr>
        <w:spacing w:line="240" w:lineRule="auto"/>
        <w:rPr>
          <w:rFonts w:ascii="EB Garamond" w:eastAsia="EB Garamond" w:hAnsi="EB Garamond" w:cs="EB Garamond"/>
          <w:color w:val="202124"/>
          <w:sz w:val="24"/>
          <w:szCs w:val="24"/>
          <w:highlight w:val="white"/>
        </w:rPr>
      </w:pPr>
      <w:r>
        <w:rPr>
          <w:rFonts w:ascii="EB Garamond" w:eastAsia="EB Garamond" w:hAnsi="EB Garamond" w:cs="EB Garamond"/>
          <w:color w:val="202124"/>
          <w:sz w:val="24"/>
          <w:szCs w:val="24"/>
          <w:highlight w:val="white"/>
        </w:rPr>
        <w:lastRenderedPageBreak/>
        <w:t>The model that used all variables, irrespective of feature selection, was able to account for ~30% of the variance seen in property values. However, the extreme multicollinearity amongst the features means that this r</w:t>
      </w:r>
      <w:r>
        <w:rPr>
          <w:rFonts w:ascii="EB Garamond" w:eastAsia="EB Garamond" w:hAnsi="EB Garamond" w:cs="EB Garamond"/>
          <w:color w:val="202124"/>
          <w:sz w:val="24"/>
          <w:szCs w:val="24"/>
          <w:highlight w:val="white"/>
          <w:vertAlign w:val="superscript"/>
        </w:rPr>
        <w:t>2</w:t>
      </w:r>
      <w:r>
        <w:rPr>
          <w:rFonts w:ascii="EB Garamond" w:eastAsia="EB Garamond" w:hAnsi="EB Garamond" w:cs="EB Garamond"/>
          <w:color w:val="202124"/>
          <w:sz w:val="24"/>
          <w:szCs w:val="24"/>
          <w:highlight w:val="white"/>
        </w:rPr>
        <w:t xml:space="preserve"> value is likely inflated. Additionall</w:t>
      </w:r>
      <w:r>
        <w:rPr>
          <w:rFonts w:ascii="EB Garamond" w:eastAsia="EB Garamond" w:hAnsi="EB Garamond" w:cs="EB Garamond"/>
          <w:color w:val="202124"/>
          <w:sz w:val="24"/>
          <w:szCs w:val="24"/>
          <w:highlight w:val="white"/>
        </w:rPr>
        <w:t xml:space="preserve">y, the EDA revealed that </w:t>
      </w:r>
      <w:proofErr w:type="gramStart"/>
      <w:r>
        <w:rPr>
          <w:rFonts w:ascii="EB Garamond" w:eastAsia="EB Garamond" w:hAnsi="EB Garamond" w:cs="EB Garamond"/>
          <w:color w:val="202124"/>
          <w:sz w:val="24"/>
          <w:szCs w:val="24"/>
          <w:highlight w:val="white"/>
        </w:rPr>
        <w:t>the majority of</w:t>
      </w:r>
      <w:proofErr w:type="gramEnd"/>
      <w:r>
        <w:rPr>
          <w:rFonts w:ascii="EB Garamond" w:eastAsia="EB Garamond" w:hAnsi="EB Garamond" w:cs="EB Garamond"/>
          <w:color w:val="202124"/>
          <w:sz w:val="24"/>
          <w:szCs w:val="24"/>
          <w:highlight w:val="white"/>
        </w:rPr>
        <w:t xml:space="preserve"> the categorical variables did not provide meaningful differences, and thus are also likely contributing to an inflated accounting of the variance. </w:t>
      </w:r>
    </w:p>
    <w:p w14:paraId="25E36F59" w14:textId="77777777" w:rsidR="00DC59DB" w:rsidRDefault="00C6355D">
      <w:pPr>
        <w:widowControl w:val="0"/>
        <w:numPr>
          <w:ilvl w:val="0"/>
          <w:numId w:val="3"/>
        </w:numPr>
        <w:spacing w:line="240" w:lineRule="auto"/>
        <w:rPr>
          <w:rFonts w:ascii="EB Garamond" w:eastAsia="EB Garamond" w:hAnsi="EB Garamond" w:cs="EB Garamond"/>
          <w:color w:val="202124"/>
          <w:sz w:val="24"/>
          <w:szCs w:val="24"/>
          <w:highlight w:val="white"/>
        </w:rPr>
      </w:pPr>
      <w:r>
        <w:rPr>
          <w:rFonts w:ascii="EB Garamond" w:eastAsia="EB Garamond" w:hAnsi="EB Garamond" w:cs="EB Garamond"/>
          <w:color w:val="202124"/>
          <w:sz w:val="24"/>
          <w:szCs w:val="24"/>
          <w:highlight w:val="white"/>
        </w:rPr>
        <w:t>The model using only the numerical variables, which were the variab</w:t>
      </w:r>
      <w:r>
        <w:rPr>
          <w:rFonts w:ascii="EB Garamond" w:eastAsia="EB Garamond" w:hAnsi="EB Garamond" w:cs="EB Garamond"/>
          <w:color w:val="202124"/>
          <w:sz w:val="24"/>
          <w:szCs w:val="24"/>
          <w:highlight w:val="white"/>
        </w:rPr>
        <w:t>les explicitly about community characteristics also had high multicollinearity, and thus its r</w:t>
      </w:r>
      <w:r>
        <w:rPr>
          <w:rFonts w:ascii="EB Garamond" w:eastAsia="EB Garamond" w:hAnsi="EB Garamond" w:cs="EB Garamond"/>
          <w:color w:val="202124"/>
          <w:sz w:val="24"/>
          <w:szCs w:val="24"/>
          <w:highlight w:val="white"/>
          <w:vertAlign w:val="superscript"/>
        </w:rPr>
        <w:t>2</w:t>
      </w:r>
      <w:r>
        <w:rPr>
          <w:rFonts w:ascii="EB Garamond" w:eastAsia="EB Garamond" w:hAnsi="EB Garamond" w:cs="EB Garamond"/>
          <w:color w:val="202124"/>
          <w:sz w:val="24"/>
          <w:szCs w:val="24"/>
          <w:highlight w:val="white"/>
        </w:rPr>
        <w:t xml:space="preserve"> values of 0.255 also likely indicates an inflated accounting of the variance of property value.</w:t>
      </w:r>
    </w:p>
    <w:p w14:paraId="21336DE5" w14:textId="77777777" w:rsidR="00DC59DB" w:rsidRDefault="00C6355D">
      <w:pPr>
        <w:widowControl w:val="0"/>
        <w:numPr>
          <w:ilvl w:val="0"/>
          <w:numId w:val="3"/>
        </w:numPr>
        <w:spacing w:line="240" w:lineRule="auto"/>
        <w:rPr>
          <w:rFonts w:ascii="EB Garamond" w:eastAsia="EB Garamond" w:hAnsi="EB Garamond" w:cs="EB Garamond"/>
          <w:color w:val="202124"/>
          <w:sz w:val="24"/>
          <w:szCs w:val="24"/>
          <w:highlight w:val="white"/>
        </w:rPr>
      </w:pPr>
      <w:r>
        <w:rPr>
          <w:rFonts w:ascii="EB Garamond" w:eastAsia="EB Garamond" w:hAnsi="EB Garamond" w:cs="EB Garamond"/>
          <w:color w:val="202124"/>
          <w:sz w:val="24"/>
          <w:szCs w:val="24"/>
          <w:highlight w:val="white"/>
        </w:rPr>
        <w:t>The final model that uses the community percentage of MFI, the c</w:t>
      </w:r>
      <w:r>
        <w:rPr>
          <w:rFonts w:ascii="EB Garamond" w:eastAsia="EB Garamond" w:hAnsi="EB Garamond" w:cs="EB Garamond"/>
          <w:color w:val="202124"/>
          <w:sz w:val="24"/>
          <w:szCs w:val="24"/>
          <w:highlight w:val="white"/>
        </w:rPr>
        <w:t>ommunity percentage of minority residents, and the number of 1-4 family homes represents a more reliable accounting of variance due to its more reasonable VIF levels. In this model, upwards of 24% of the variance in property value can be attributed to comm</w:t>
      </w:r>
      <w:r>
        <w:rPr>
          <w:rFonts w:ascii="EB Garamond" w:eastAsia="EB Garamond" w:hAnsi="EB Garamond" w:cs="EB Garamond"/>
          <w:color w:val="202124"/>
          <w:sz w:val="24"/>
          <w:szCs w:val="24"/>
          <w:highlight w:val="white"/>
        </w:rPr>
        <w:t xml:space="preserve">unity factors alone. Additionally, the 95% confidence interval for the coefficients of the features were </w:t>
      </w:r>
      <w:proofErr w:type="gramStart"/>
      <w:r>
        <w:rPr>
          <w:rFonts w:ascii="EB Garamond" w:eastAsia="EB Garamond" w:hAnsi="EB Garamond" w:cs="EB Garamond"/>
          <w:color w:val="202124"/>
          <w:sz w:val="24"/>
          <w:szCs w:val="24"/>
          <w:highlight w:val="white"/>
        </w:rPr>
        <w:t>fairly narrow</w:t>
      </w:r>
      <w:proofErr w:type="gramEnd"/>
      <w:r>
        <w:rPr>
          <w:rFonts w:ascii="EB Garamond" w:eastAsia="EB Garamond" w:hAnsi="EB Garamond" w:cs="EB Garamond"/>
          <w:color w:val="202124"/>
          <w:sz w:val="24"/>
          <w:szCs w:val="24"/>
          <w:highlight w:val="white"/>
        </w:rPr>
        <w:t>, further indicating that the model could be reasonably relied on to understand the impact each feature had on property value. The final l</w:t>
      </w:r>
      <w:r>
        <w:rPr>
          <w:rFonts w:ascii="EB Garamond" w:eastAsia="EB Garamond" w:hAnsi="EB Garamond" w:cs="EB Garamond"/>
          <w:color w:val="202124"/>
          <w:sz w:val="24"/>
          <w:szCs w:val="24"/>
          <w:highlight w:val="white"/>
        </w:rPr>
        <w:t>ogistic model equation is as follows:</w:t>
      </w:r>
    </w:p>
    <w:p w14:paraId="4D0BA562" w14:textId="77777777" w:rsidR="00DC59DB" w:rsidRDefault="00DC59DB">
      <w:pPr>
        <w:widowControl w:val="0"/>
        <w:spacing w:line="240" w:lineRule="auto"/>
        <w:ind w:left="720"/>
        <w:rPr>
          <w:rFonts w:ascii="EB Garamond" w:eastAsia="EB Garamond" w:hAnsi="EB Garamond" w:cs="EB Garamond"/>
          <w:color w:val="202124"/>
          <w:sz w:val="24"/>
          <w:szCs w:val="24"/>
          <w:highlight w:val="white"/>
        </w:rPr>
      </w:pPr>
    </w:p>
    <w:p w14:paraId="52D48D79" w14:textId="77777777" w:rsidR="00DC59DB" w:rsidRDefault="00C6355D">
      <w:pPr>
        <w:widowControl w:val="0"/>
        <w:spacing w:line="240" w:lineRule="auto"/>
        <w:ind w:left="720"/>
        <w:rPr>
          <w:rFonts w:ascii="EB Garamond" w:eastAsia="EB Garamond" w:hAnsi="EB Garamond" w:cs="EB Garamond"/>
          <w:color w:val="202124"/>
          <w:sz w:val="24"/>
          <w:szCs w:val="24"/>
          <w:highlight w:val="white"/>
        </w:rPr>
      </w:pPr>
      <w:r>
        <w:rPr>
          <w:rFonts w:ascii="EB Garamond" w:eastAsia="EB Garamond" w:hAnsi="EB Garamond" w:cs="EB Garamond"/>
          <w:color w:val="202124"/>
          <w:sz w:val="24"/>
          <w:szCs w:val="24"/>
          <w:highlight w:val="white"/>
        </w:rPr>
        <w:t xml:space="preserve">Property Value = $654,700 - $3314.46 </w:t>
      </w:r>
      <w:r>
        <w:rPr>
          <w:rFonts w:ascii="EB Garamond" w:eastAsia="EB Garamond" w:hAnsi="EB Garamond" w:cs="EB Garamond"/>
          <w:color w:val="202124"/>
          <w:sz w:val="24"/>
          <w:szCs w:val="24"/>
          <w:highlight w:val="white"/>
          <w:vertAlign w:val="superscript"/>
        </w:rPr>
        <w:t>% minority</w:t>
      </w:r>
      <w:r>
        <w:rPr>
          <w:rFonts w:ascii="EB Garamond" w:eastAsia="EB Garamond" w:hAnsi="EB Garamond" w:cs="EB Garamond"/>
          <w:color w:val="202124"/>
          <w:sz w:val="24"/>
          <w:szCs w:val="24"/>
          <w:highlight w:val="white"/>
        </w:rPr>
        <w:t xml:space="preserve"> + $1739.74 </w:t>
      </w:r>
      <w:r>
        <w:rPr>
          <w:rFonts w:ascii="EB Garamond" w:eastAsia="EB Garamond" w:hAnsi="EB Garamond" w:cs="EB Garamond"/>
          <w:color w:val="202124"/>
          <w:sz w:val="24"/>
          <w:szCs w:val="24"/>
          <w:highlight w:val="white"/>
          <w:vertAlign w:val="superscript"/>
        </w:rPr>
        <w:t>% MFI</w:t>
      </w:r>
      <w:r>
        <w:rPr>
          <w:rFonts w:ascii="EB Garamond" w:eastAsia="EB Garamond" w:hAnsi="EB Garamond" w:cs="EB Garamond"/>
          <w:color w:val="202124"/>
          <w:sz w:val="24"/>
          <w:szCs w:val="24"/>
          <w:highlight w:val="white"/>
        </w:rPr>
        <w:t xml:space="preserve"> + 137.97 </w:t>
      </w:r>
      <w:r>
        <w:rPr>
          <w:rFonts w:ascii="EB Garamond" w:eastAsia="EB Garamond" w:hAnsi="EB Garamond" w:cs="EB Garamond"/>
          <w:color w:val="202124"/>
          <w:sz w:val="24"/>
          <w:szCs w:val="24"/>
          <w:highlight w:val="white"/>
          <w:vertAlign w:val="superscript"/>
        </w:rPr>
        <w:t># 1-4 family homes</w:t>
      </w:r>
      <w:r>
        <w:rPr>
          <w:rFonts w:ascii="EB Garamond" w:eastAsia="EB Garamond" w:hAnsi="EB Garamond" w:cs="EB Garamond"/>
          <w:color w:val="202124"/>
          <w:sz w:val="24"/>
          <w:szCs w:val="24"/>
          <w:highlight w:val="white"/>
        </w:rPr>
        <w:t xml:space="preserve">   </w:t>
      </w:r>
    </w:p>
    <w:p w14:paraId="3F4431E0" w14:textId="77777777" w:rsidR="00DC59DB" w:rsidRDefault="00DC59DB">
      <w:pPr>
        <w:widowControl w:val="0"/>
        <w:spacing w:line="240" w:lineRule="auto"/>
        <w:rPr>
          <w:rFonts w:ascii="EB Garamond" w:eastAsia="EB Garamond" w:hAnsi="EB Garamond" w:cs="EB Garamond"/>
          <w:color w:val="202124"/>
          <w:sz w:val="24"/>
          <w:szCs w:val="24"/>
          <w:highlight w:val="white"/>
        </w:rPr>
      </w:pPr>
    </w:p>
    <w:p w14:paraId="363A2CD3" w14:textId="77777777" w:rsidR="00DC59DB" w:rsidRDefault="00C6355D">
      <w:pPr>
        <w:widowControl w:val="0"/>
        <w:rPr>
          <w:rFonts w:ascii="EB Garamond" w:eastAsia="EB Garamond" w:hAnsi="EB Garamond" w:cs="EB Garamond"/>
          <w:color w:val="202124"/>
          <w:sz w:val="24"/>
          <w:szCs w:val="24"/>
          <w:highlight w:val="white"/>
          <w:u w:val="single"/>
        </w:rPr>
      </w:pPr>
      <w:r>
        <w:rPr>
          <w:rFonts w:ascii="EB Garamond" w:eastAsia="EB Garamond" w:hAnsi="EB Garamond" w:cs="EB Garamond"/>
          <w:color w:val="202124"/>
          <w:sz w:val="24"/>
          <w:szCs w:val="24"/>
          <w:highlight w:val="white"/>
          <w:u w:val="single"/>
        </w:rPr>
        <w:t>Interpretation</w:t>
      </w:r>
    </w:p>
    <w:p w14:paraId="70D67B4F" w14:textId="77777777" w:rsidR="00DC59DB" w:rsidRDefault="00DC59DB">
      <w:pPr>
        <w:rPr>
          <w:rFonts w:ascii="EB Garamond" w:eastAsia="EB Garamond" w:hAnsi="EB Garamond" w:cs="EB Garamond"/>
          <w:b/>
          <w:sz w:val="24"/>
          <w:szCs w:val="24"/>
        </w:rPr>
      </w:pPr>
    </w:p>
    <w:p w14:paraId="6F456BAD" w14:textId="77777777" w:rsidR="00DC59DB" w:rsidRDefault="00C6355D">
      <w:pPr>
        <w:rPr>
          <w:rFonts w:ascii="EB Garamond" w:eastAsia="EB Garamond" w:hAnsi="EB Garamond" w:cs="EB Garamond"/>
          <w:sz w:val="24"/>
          <w:szCs w:val="24"/>
        </w:rPr>
      </w:pPr>
      <w:r>
        <w:rPr>
          <w:rFonts w:ascii="EB Garamond" w:eastAsia="EB Garamond" w:hAnsi="EB Garamond" w:cs="EB Garamond"/>
          <w:sz w:val="24"/>
          <w:szCs w:val="24"/>
        </w:rPr>
        <w:t>Communities in the DMV area tend to be clustered into either low or higher minority neighborhoods. They also tend to be grouped by income levels. The property value of a home could potentially be affected by the community characteristics of the neighborhoo</w:t>
      </w:r>
      <w:r>
        <w:rPr>
          <w:rFonts w:ascii="EB Garamond" w:eastAsia="EB Garamond" w:hAnsi="EB Garamond" w:cs="EB Garamond"/>
          <w:sz w:val="24"/>
          <w:szCs w:val="24"/>
        </w:rPr>
        <w:t xml:space="preserve">d the home </w:t>
      </w:r>
      <w:proofErr w:type="gramStart"/>
      <w:r>
        <w:rPr>
          <w:rFonts w:ascii="EB Garamond" w:eastAsia="EB Garamond" w:hAnsi="EB Garamond" w:cs="EB Garamond"/>
          <w:sz w:val="24"/>
          <w:szCs w:val="24"/>
        </w:rPr>
        <w:t>is located in</w:t>
      </w:r>
      <w:proofErr w:type="gramEnd"/>
      <w:r>
        <w:rPr>
          <w:rFonts w:ascii="EB Garamond" w:eastAsia="EB Garamond" w:hAnsi="EB Garamond" w:cs="EB Garamond"/>
          <w:sz w:val="24"/>
          <w:szCs w:val="24"/>
        </w:rPr>
        <w:t>, irrespective of the physical characteristics of the home. The exact same home could vary in value by upwards of 24% depending on those community characteristics. This effect is negatively associated with higher percentages of mino</w:t>
      </w:r>
      <w:r>
        <w:rPr>
          <w:rFonts w:ascii="EB Garamond" w:eastAsia="EB Garamond" w:hAnsi="EB Garamond" w:cs="EB Garamond"/>
          <w:sz w:val="24"/>
          <w:szCs w:val="24"/>
        </w:rPr>
        <w:t>rity residents and positively associated with higher incomes relative to the regional family median income level. While many control factors need to be considered, and will be mentioned in the limitations section, these findings warrant deeper exploration.</w:t>
      </w:r>
    </w:p>
    <w:p w14:paraId="5540ADEE" w14:textId="77777777" w:rsidR="00DC59DB" w:rsidRDefault="00DC59DB">
      <w:pPr>
        <w:rPr>
          <w:rFonts w:ascii="EB Garamond" w:eastAsia="EB Garamond" w:hAnsi="EB Garamond" w:cs="EB Garamond"/>
          <w:b/>
          <w:sz w:val="24"/>
          <w:szCs w:val="24"/>
        </w:rPr>
      </w:pPr>
    </w:p>
    <w:p w14:paraId="2D5D5476" w14:textId="77777777" w:rsidR="00DC59DB" w:rsidRDefault="00C6355D">
      <w:pPr>
        <w:rPr>
          <w:rFonts w:ascii="EB Garamond" w:eastAsia="EB Garamond" w:hAnsi="EB Garamond" w:cs="EB Garamond"/>
          <w:b/>
          <w:i/>
          <w:sz w:val="24"/>
          <w:szCs w:val="24"/>
        </w:rPr>
      </w:pPr>
      <w:r>
        <w:rPr>
          <w:rFonts w:ascii="EB Garamond" w:eastAsia="EB Garamond" w:hAnsi="EB Garamond" w:cs="EB Garamond"/>
          <w:b/>
          <w:i/>
          <w:sz w:val="24"/>
          <w:szCs w:val="24"/>
        </w:rPr>
        <w:t xml:space="preserve">Interest Rates &amp; Loan Costs Among Women &amp; Minorities </w:t>
      </w:r>
    </w:p>
    <w:p w14:paraId="707DF3E7" w14:textId="77777777" w:rsidR="00DC59DB" w:rsidRDefault="00DC59DB">
      <w:pPr>
        <w:rPr>
          <w:rFonts w:ascii="EB Garamond" w:eastAsia="EB Garamond" w:hAnsi="EB Garamond" w:cs="EB Garamond"/>
          <w:color w:val="222222"/>
          <w:sz w:val="24"/>
          <w:szCs w:val="24"/>
        </w:rPr>
      </w:pPr>
    </w:p>
    <w:p w14:paraId="2B02D83C" w14:textId="77777777" w:rsidR="00DC59DB" w:rsidRDefault="00C6355D">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To investigate whether diverse social groups differ in how much they pay in interest rates and mortgage loan costs, we chose the appropriate variables from our data. </w:t>
      </w:r>
      <w:r>
        <w:rPr>
          <w:rFonts w:ascii="Times New Roman" w:eastAsia="Times New Roman" w:hAnsi="Times New Roman" w:cs="Times New Roman"/>
          <w:sz w:val="24"/>
          <w:szCs w:val="24"/>
        </w:rPr>
        <w:t>We used Total Loan Cost (hencefor</w:t>
      </w:r>
      <w:r>
        <w:rPr>
          <w:rFonts w:ascii="Times New Roman" w:eastAsia="Times New Roman" w:hAnsi="Times New Roman" w:cs="Times New Roman"/>
          <w:sz w:val="24"/>
          <w:szCs w:val="24"/>
        </w:rPr>
        <w:t>th TLC) and the annual mortgage Interest Rates (henceforth IR) as our objective (LHS) variables. For our explanatory (RHS) variables, we chose Sex, and Race. We were also curious about measuring the easiness in which the individuals from those groups could</w:t>
      </w:r>
      <w:r>
        <w:rPr>
          <w:rFonts w:ascii="Times New Roman" w:eastAsia="Times New Roman" w:hAnsi="Times New Roman" w:cs="Times New Roman"/>
          <w:sz w:val="24"/>
          <w:szCs w:val="24"/>
        </w:rPr>
        <w:t xml:space="preserve"> access opportunities to structure and pay their loans, so we chose Discount Points and Lender Credits as explanatory (RHS) variables in their own models too. Although these last two variables are only </w:t>
      </w:r>
      <w:r>
        <w:rPr>
          <w:rFonts w:ascii="Times New Roman" w:eastAsia="Times New Roman" w:hAnsi="Times New Roman" w:cs="Times New Roman"/>
          <w:sz w:val="24"/>
          <w:szCs w:val="24"/>
        </w:rPr>
        <w:lastRenderedPageBreak/>
        <w:t>a partial representation of the easiness of payment of</w:t>
      </w:r>
      <w:r>
        <w:rPr>
          <w:rFonts w:ascii="Times New Roman" w:eastAsia="Times New Roman" w:hAnsi="Times New Roman" w:cs="Times New Roman"/>
          <w:sz w:val="24"/>
          <w:szCs w:val="24"/>
        </w:rPr>
        <w:t xml:space="preserve"> a loan, they are a reasonable starting point for group comparisons.</w:t>
      </w:r>
    </w:p>
    <w:p w14:paraId="272E3E41" w14:textId="77777777" w:rsidR="00DC59DB" w:rsidRDefault="00C6355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4170FE4" w14:textId="77777777" w:rsidR="00DC59DB" w:rsidRDefault="00C6355D">
      <w:pPr>
        <w:rPr>
          <w:rFonts w:ascii="EB Garamond" w:eastAsia="EB Garamond" w:hAnsi="EB Garamond" w:cs="EB Garamond"/>
          <w:color w:val="222222"/>
          <w:sz w:val="24"/>
          <w:szCs w:val="24"/>
        </w:rPr>
      </w:pPr>
      <w:r>
        <w:rPr>
          <w:rFonts w:ascii="EB Garamond" w:eastAsia="EB Garamond" w:hAnsi="EB Garamond" w:cs="EB Garamond"/>
          <w:color w:val="222222"/>
          <w:sz w:val="24"/>
          <w:szCs w:val="24"/>
        </w:rPr>
        <w:t>Using linear models, we ran both a one-way ANOVA and two-way ANOVA tests between the target variables and explanatory variables as well as their interactions. Finally, we conducted a Tu</w:t>
      </w:r>
      <w:r>
        <w:rPr>
          <w:rFonts w:ascii="EB Garamond" w:eastAsia="EB Garamond" w:hAnsi="EB Garamond" w:cs="EB Garamond"/>
          <w:color w:val="222222"/>
          <w:sz w:val="24"/>
          <w:szCs w:val="24"/>
        </w:rPr>
        <w:t>key test to observe any significant mean differences between the social groups.</w:t>
      </w:r>
    </w:p>
    <w:p w14:paraId="73C97438" w14:textId="77777777" w:rsidR="00DC59DB" w:rsidRDefault="00C6355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27C72BF" w14:textId="77777777" w:rsidR="00DC59DB" w:rsidRDefault="00C6355D">
      <w:pPr>
        <w:rPr>
          <w:rFonts w:ascii="EB Garamond" w:eastAsia="EB Garamond" w:hAnsi="EB Garamond" w:cs="EB Garamond"/>
          <w:color w:val="222222"/>
          <w:sz w:val="24"/>
          <w:szCs w:val="24"/>
        </w:rPr>
      </w:pPr>
      <w:r>
        <w:rPr>
          <w:rFonts w:ascii="EB Garamond" w:eastAsia="EB Garamond" w:hAnsi="EB Garamond" w:cs="EB Garamond"/>
          <w:color w:val="222222"/>
          <w:sz w:val="24"/>
          <w:szCs w:val="24"/>
        </w:rPr>
        <w:t>The algebraic form of our linear models as follows:</w:t>
      </w:r>
    </w:p>
    <w:p w14:paraId="4B4ABA2A" w14:textId="77777777" w:rsidR="00DC59DB" w:rsidRDefault="00C6355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CD4C09E" w14:textId="77777777" w:rsidR="00DC59DB" w:rsidRDefault="00C6355D">
      <w:pPr>
        <w:jc w:val="center"/>
        <w:rPr>
          <w:rFonts w:ascii="EB Garamond" w:eastAsia="EB Garamond" w:hAnsi="EB Garamond" w:cs="EB Garamond"/>
          <w:color w:val="222222"/>
          <w:sz w:val="24"/>
          <w:szCs w:val="24"/>
        </w:rPr>
      </w:pPr>
      <m:oMathPara>
        <m:oMath>
          <m:r>
            <w:rPr>
              <w:rFonts w:ascii="EB Garamond" w:eastAsia="EB Garamond" w:hAnsi="EB Garamond" w:cs="EB Garamond"/>
              <w:color w:val="222222"/>
              <w:sz w:val="24"/>
              <w:szCs w:val="24"/>
            </w:rPr>
            <m:t>Z</m:t>
          </m:r>
          <m:r>
            <w:rPr>
              <w:rFonts w:ascii="EB Garamond" w:eastAsia="EB Garamond" w:hAnsi="EB Garamond" w:cs="EB Garamond"/>
              <w:color w:val="222222"/>
              <w:sz w:val="24"/>
              <w:szCs w:val="24"/>
            </w:rPr>
            <m:t xml:space="preserve">= </m:t>
          </m:r>
          <m:sSub>
            <m:sSubPr>
              <m:ctrlPr>
                <w:rPr>
                  <w:rFonts w:ascii="EB Garamond" w:eastAsia="EB Garamond" w:hAnsi="EB Garamond" w:cs="EB Garamond"/>
                  <w:color w:val="222222"/>
                  <w:sz w:val="24"/>
                  <w:szCs w:val="24"/>
                </w:rPr>
              </m:ctrlPr>
            </m:sSubPr>
            <m:e>
              <m:r>
                <w:rPr>
                  <w:rFonts w:ascii="EB Garamond" w:eastAsia="EB Garamond" w:hAnsi="EB Garamond" w:cs="EB Garamond"/>
                  <w:color w:val="222222"/>
                  <w:sz w:val="24"/>
                  <w:szCs w:val="24"/>
                </w:rPr>
                <m:t>A</m:t>
              </m:r>
            </m:e>
            <m:sub>
              <m:r>
                <w:rPr>
                  <w:rFonts w:ascii="EB Garamond" w:eastAsia="EB Garamond" w:hAnsi="EB Garamond" w:cs="EB Garamond"/>
                  <w:color w:val="222222"/>
                  <w:sz w:val="24"/>
                  <w:szCs w:val="24"/>
                </w:rPr>
                <m:t>0</m:t>
              </m:r>
            </m:sub>
          </m:sSub>
          <m:r>
            <w:rPr>
              <w:rFonts w:ascii="EB Garamond" w:eastAsia="EB Garamond" w:hAnsi="EB Garamond" w:cs="EB Garamond"/>
              <w:color w:val="222222"/>
              <w:sz w:val="24"/>
              <w:szCs w:val="24"/>
            </w:rPr>
            <m:t xml:space="preserve"> +</m:t>
          </m:r>
          <m:sSub>
            <m:sSubPr>
              <m:ctrlPr>
                <w:rPr>
                  <w:rFonts w:ascii="EB Garamond" w:eastAsia="EB Garamond" w:hAnsi="EB Garamond" w:cs="EB Garamond"/>
                  <w:color w:val="222222"/>
                  <w:sz w:val="24"/>
                  <w:szCs w:val="24"/>
                </w:rPr>
              </m:ctrlPr>
            </m:sSubPr>
            <m:e>
              <m:r>
                <w:rPr>
                  <w:rFonts w:ascii="EB Garamond" w:eastAsia="EB Garamond" w:hAnsi="EB Garamond" w:cs="EB Garamond"/>
                  <w:color w:val="222222"/>
                  <w:sz w:val="24"/>
                  <w:szCs w:val="24"/>
                </w:rPr>
                <m:t>A</m:t>
              </m:r>
            </m:e>
            <m:sub>
              <m:r>
                <w:rPr>
                  <w:rFonts w:ascii="EB Garamond" w:eastAsia="EB Garamond" w:hAnsi="EB Garamond" w:cs="EB Garamond"/>
                  <w:color w:val="222222"/>
                  <w:sz w:val="24"/>
                  <w:szCs w:val="24"/>
                </w:rPr>
                <m:t>1</m:t>
              </m:r>
            </m:sub>
          </m:sSub>
          <m:r>
            <w:rPr>
              <w:rFonts w:ascii="EB Garamond" w:eastAsia="EB Garamond" w:hAnsi="EB Garamond" w:cs="EB Garamond"/>
              <w:color w:val="222222"/>
              <w:sz w:val="24"/>
              <w:szCs w:val="24"/>
            </w:rPr>
            <m:t xml:space="preserve"> </m:t>
          </m:r>
          <m:r>
            <w:rPr>
              <w:rFonts w:ascii="EB Garamond" w:eastAsia="EB Garamond" w:hAnsi="EB Garamond" w:cs="EB Garamond"/>
              <w:color w:val="222222"/>
              <w:sz w:val="24"/>
              <w:szCs w:val="24"/>
            </w:rPr>
            <m:t>ρ</m:t>
          </m:r>
          <m:r>
            <w:rPr>
              <w:rFonts w:ascii="EB Garamond" w:eastAsia="EB Garamond" w:hAnsi="EB Garamond" w:cs="EB Garamond"/>
              <w:color w:val="222222"/>
              <w:sz w:val="24"/>
              <w:szCs w:val="24"/>
            </w:rPr>
            <m:t>+</m:t>
          </m:r>
          <m:r>
            <w:rPr>
              <w:rFonts w:ascii="EB Garamond" w:eastAsia="EB Garamond" w:hAnsi="EB Garamond" w:cs="EB Garamond"/>
              <w:color w:val="222222"/>
              <w:sz w:val="24"/>
              <w:szCs w:val="24"/>
            </w:rPr>
            <m:t>ε</m:t>
          </m:r>
        </m:oMath>
      </m:oMathPara>
    </w:p>
    <w:p w14:paraId="58EE1B54" w14:textId="77777777" w:rsidR="00DC59DB" w:rsidRDefault="00C6355D">
      <w:pPr>
        <w:rPr>
          <w:rFonts w:ascii="EB Garamond" w:eastAsia="EB Garamond" w:hAnsi="EB Garamond" w:cs="EB Garamond"/>
          <w:color w:val="222222"/>
          <w:sz w:val="24"/>
          <w:szCs w:val="24"/>
        </w:rPr>
      </w:pPr>
      <w:proofErr w:type="gramStart"/>
      <w:r>
        <w:rPr>
          <w:rFonts w:ascii="EB Garamond" w:eastAsia="EB Garamond" w:hAnsi="EB Garamond" w:cs="EB Garamond"/>
          <w:color w:val="222222"/>
          <w:sz w:val="24"/>
          <w:szCs w:val="24"/>
        </w:rPr>
        <w:t>Where</w:t>
      </w:r>
      <w:proofErr w:type="gramEnd"/>
      <w:r>
        <w:rPr>
          <w:rFonts w:ascii="EB Garamond" w:eastAsia="EB Garamond" w:hAnsi="EB Garamond" w:cs="EB Garamond"/>
          <w:color w:val="222222"/>
          <w:sz w:val="24"/>
          <w:szCs w:val="24"/>
        </w:rPr>
        <w:t>,</w:t>
      </w:r>
    </w:p>
    <w:p w14:paraId="419B4C9E" w14:textId="77777777" w:rsidR="00DC59DB" w:rsidRDefault="00C6355D">
      <w:pPr>
        <w:jc w:val="center"/>
        <w:rPr>
          <w:rFonts w:ascii="EB Garamond" w:eastAsia="EB Garamond" w:hAnsi="EB Garamond" w:cs="EB Garamond"/>
          <w:color w:val="222222"/>
          <w:sz w:val="24"/>
          <w:szCs w:val="24"/>
        </w:rPr>
      </w:pPr>
      <w:r>
        <w:rPr>
          <w:rFonts w:ascii="EB Garamond" w:eastAsia="EB Garamond" w:hAnsi="EB Garamond" w:cs="EB Garamond"/>
          <w:color w:val="222222"/>
          <w:sz w:val="24"/>
          <w:szCs w:val="24"/>
        </w:rPr>
        <w:t xml:space="preserve"> </w:t>
      </w:r>
      <w:r>
        <w:rPr>
          <w:rFonts w:ascii="EB Garamond" w:eastAsia="EB Garamond" w:hAnsi="EB Garamond" w:cs="EB Garamond"/>
          <w:noProof/>
          <w:color w:val="222222"/>
          <w:sz w:val="24"/>
          <w:szCs w:val="24"/>
        </w:rPr>
        <w:drawing>
          <wp:inline distT="114300" distB="114300" distL="114300" distR="114300" wp14:anchorId="1C5E2869" wp14:editId="63410A47">
            <wp:extent cx="3972281" cy="1286938"/>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3972281" cy="1286938"/>
                    </a:xfrm>
                    <a:prstGeom prst="rect">
                      <a:avLst/>
                    </a:prstGeom>
                    <a:ln/>
                  </pic:spPr>
                </pic:pic>
              </a:graphicData>
            </a:graphic>
          </wp:inline>
        </w:drawing>
      </w:r>
    </w:p>
    <w:p w14:paraId="7DD720D6" w14:textId="77777777" w:rsidR="00DC59DB" w:rsidRDefault="00C6355D">
      <w:pPr>
        <w:rPr>
          <w:rFonts w:ascii="EB Garamond" w:eastAsia="EB Garamond" w:hAnsi="EB Garamond" w:cs="EB Garamond"/>
          <w:color w:val="222222"/>
          <w:sz w:val="24"/>
          <w:szCs w:val="24"/>
        </w:rPr>
      </w:pPr>
      <w:r>
        <w:rPr>
          <w:rFonts w:ascii="EB Garamond" w:eastAsia="EB Garamond" w:hAnsi="EB Garamond" w:cs="EB Garamond"/>
          <w:color w:val="222222"/>
          <w:sz w:val="24"/>
          <w:szCs w:val="24"/>
        </w:rPr>
        <w:t>Note that,</w:t>
      </w:r>
    </w:p>
    <w:p w14:paraId="4113B0F8" w14:textId="77777777" w:rsidR="00DC59DB" w:rsidRDefault="00C6355D">
      <w:pPr>
        <w:rPr>
          <w:rFonts w:ascii="EB Garamond" w:eastAsia="EB Garamond" w:hAnsi="EB Garamond" w:cs="EB Garamond"/>
          <w:color w:val="222222"/>
          <w:sz w:val="24"/>
          <w:szCs w:val="24"/>
        </w:rPr>
      </w:pPr>
      <w:r>
        <w:rPr>
          <w:rFonts w:ascii="EB Garamond" w:eastAsia="EB Garamond" w:hAnsi="EB Garamond" w:cs="EB Garamond"/>
          <w:color w:val="222222"/>
          <w:sz w:val="24"/>
          <w:szCs w:val="24"/>
        </w:rPr>
        <w:t xml:space="preserve"> </w:t>
      </w:r>
      <w:r>
        <w:rPr>
          <w:rFonts w:ascii="EB Garamond" w:eastAsia="EB Garamond" w:hAnsi="EB Garamond" w:cs="EB Garamond"/>
          <w:i/>
          <w:color w:val="222222"/>
          <w:sz w:val="24"/>
          <w:szCs w:val="24"/>
        </w:rPr>
        <w:t>IR</w:t>
      </w:r>
      <w:r>
        <w:rPr>
          <w:rFonts w:ascii="EB Garamond" w:eastAsia="EB Garamond" w:hAnsi="EB Garamond" w:cs="EB Garamond"/>
          <w:color w:val="222222"/>
          <w:sz w:val="24"/>
          <w:szCs w:val="24"/>
        </w:rPr>
        <w:t xml:space="preserve"> is the annual interest rate of the mortgage loan.</w:t>
      </w:r>
    </w:p>
    <w:p w14:paraId="2B79046B" w14:textId="77777777" w:rsidR="00DC59DB" w:rsidRDefault="00DC59DB">
      <w:pPr>
        <w:rPr>
          <w:rFonts w:ascii="EB Garamond" w:eastAsia="EB Garamond" w:hAnsi="EB Garamond" w:cs="EB Garamond"/>
          <w:color w:val="222222"/>
          <w:sz w:val="24"/>
          <w:szCs w:val="24"/>
        </w:rPr>
      </w:pPr>
    </w:p>
    <w:p w14:paraId="5CAB4D0B" w14:textId="77777777" w:rsidR="00DC59DB" w:rsidRDefault="00C6355D">
      <w:pPr>
        <w:rPr>
          <w:rFonts w:ascii="EB Garamond" w:eastAsia="EB Garamond" w:hAnsi="EB Garamond" w:cs="EB Garamond"/>
          <w:color w:val="222222"/>
          <w:sz w:val="24"/>
          <w:szCs w:val="24"/>
        </w:rPr>
      </w:pPr>
      <w:r>
        <w:rPr>
          <w:rFonts w:ascii="EB Garamond" w:eastAsia="EB Garamond" w:hAnsi="EB Garamond" w:cs="EB Garamond"/>
          <w:i/>
          <w:color w:val="222222"/>
          <w:sz w:val="24"/>
          <w:szCs w:val="24"/>
        </w:rPr>
        <w:t>TLC</w:t>
      </w:r>
      <w:r>
        <w:rPr>
          <w:rFonts w:ascii="EB Garamond" w:eastAsia="EB Garamond" w:hAnsi="EB Garamond" w:cs="EB Garamond"/>
          <w:color w:val="222222"/>
          <w:sz w:val="24"/>
          <w:szCs w:val="24"/>
        </w:rPr>
        <w:t xml:space="preserve"> is the net cost of acquiring a loan, calculated by subtracting the total amount paid by a borrower during the duration of the loan minus the capital borrowed. It is not to be confused with the monthly</w:t>
      </w:r>
      <w:r>
        <w:rPr>
          <w:rFonts w:ascii="EB Garamond" w:eastAsia="EB Garamond" w:hAnsi="EB Garamond" w:cs="EB Garamond"/>
          <w:color w:val="222222"/>
          <w:sz w:val="24"/>
          <w:szCs w:val="24"/>
        </w:rPr>
        <w:t xml:space="preserve"> mortgage payment that a borrower will pay during the life of the loan.</w:t>
      </w:r>
    </w:p>
    <w:p w14:paraId="32B78679" w14:textId="77777777" w:rsidR="00DC59DB" w:rsidRDefault="00C6355D">
      <w:pPr>
        <w:rPr>
          <w:rFonts w:ascii="EB Garamond" w:eastAsia="EB Garamond" w:hAnsi="EB Garamond" w:cs="EB Garamond"/>
          <w:color w:val="222222"/>
          <w:sz w:val="24"/>
          <w:szCs w:val="24"/>
        </w:rPr>
      </w:pPr>
      <w:r>
        <w:rPr>
          <w:rFonts w:ascii="EB Garamond" w:eastAsia="EB Garamond" w:hAnsi="EB Garamond" w:cs="EB Garamond"/>
          <w:color w:val="222222"/>
          <w:sz w:val="24"/>
          <w:szCs w:val="24"/>
        </w:rPr>
        <w:t xml:space="preserve"> </w:t>
      </w:r>
    </w:p>
    <w:p w14:paraId="45AEA3E0" w14:textId="77777777" w:rsidR="00DC59DB" w:rsidRDefault="00C6355D">
      <w:pPr>
        <w:rPr>
          <w:rFonts w:ascii="EB Garamond" w:eastAsia="EB Garamond" w:hAnsi="EB Garamond" w:cs="EB Garamond"/>
          <w:color w:val="222222"/>
          <w:sz w:val="24"/>
          <w:szCs w:val="24"/>
        </w:rPr>
      </w:pPr>
      <w:r>
        <w:rPr>
          <w:rFonts w:ascii="EB Garamond" w:eastAsia="EB Garamond" w:hAnsi="EB Garamond" w:cs="EB Garamond"/>
          <w:i/>
          <w:color w:val="222222"/>
          <w:sz w:val="24"/>
          <w:szCs w:val="24"/>
        </w:rPr>
        <w:t>Derived Sex</w:t>
      </w:r>
      <w:r>
        <w:rPr>
          <w:rFonts w:ascii="EB Garamond" w:eastAsia="EB Garamond" w:hAnsi="EB Garamond" w:cs="EB Garamond"/>
          <w:color w:val="222222"/>
          <w:sz w:val="24"/>
          <w:szCs w:val="24"/>
        </w:rPr>
        <w:t xml:space="preserve"> has three levels: Female, Male, and Joint. The latter is assigned in the database to those loans requested by two or more borrowers in a joint capacity, and may include </w:t>
      </w:r>
      <w:proofErr w:type="spellStart"/>
      <w:proofErr w:type="gramStart"/>
      <w:r>
        <w:rPr>
          <w:rFonts w:ascii="EB Garamond" w:eastAsia="EB Garamond" w:hAnsi="EB Garamond" w:cs="EB Garamond"/>
          <w:color w:val="222222"/>
          <w:sz w:val="24"/>
          <w:szCs w:val="24"/>
        </w:rPr>
        <w:t>m</w:t>
      </w:r>
      <w:r>
        <w:rPr>
          <w:rFonts w:ascii="EB Garamond" w:eastAsia="EB Garamond" w:hAnsi="EB Garamond" w:cs="EB Garamond"/>
          <w:color w:val="222222"/>
          <w:sz w:val="24"/>
          <w:szCs w:val="24"/>
        </w:rPr>
        <w:t>atrital</w:t>
      </w:r>
      <w:proofErr w:type="spellEnd"/>
      <w:r>
        <w:rPr>
          <w:rFonts w:ascii="EB Garamond" w:eastAsia="EB Garamond" w:hAnsi="EB Garamond" w:cs="EB Garamond"/>
          <w:color w:val="222222"/>
          <w:sz w:val="24"/>
          <w:szCs w:val="24"/>
        </w:rPr>
        <w:t xml:space="preserve">  and</w:t>
      </w:r>
      <w:proofErr w:type="gramEnd"/>
      <w:r>
        <w:rPr>
          <w:rFonts w:ascii="EB Garamond" w:eastAsia="EB Garamond" w:hAnsi="EB Garamond" w:cs="EB Garamond"/>
          <w:color w:val="222222"/>
          <w:sz w:val="24"/>
          <w:szCs w:val="24"/>
        </w:rPr>
        <w:t xml:space="preserve"> or business partnerships.</w:t>
      </w:r>
    </w:p>
    <w:p w14:paraId="57D1B2FF" w14:textId="77777777" w:rsidR="00DC59DB" w:rsidRDefault="00C6355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2CCCCAF" w14:textId="77777777" w:rsidR="00DC59DB" w:rsidRDefault="00C6355D">
      <w:pPr>
        <w:rPr>
          <w:rFonts w:ascii="EB Garamond" w:eastAsia="EB Garamond" w:hAnsi="EB Garamond" w:cs="EB Garamond"/>
          <w:color w:val="222222"/>
          <w:sz w:val="24"/>
          <w:szCs w:val="24"/>
        </w:rPr>
      </w:pPr>
      <w:r>
        <w:rPr>
          <w:rFonts w:ascii="EB Garamond" w:eastAsia="EB Garamond" w:hAnsi="EB Garamond" w:cs="EB Garamond"/>
          <w:i/>
          <w:color w:val="222222"/>
          <w:sz w:val="24"/>
          <w:szCs w:val="24"/>
        </w:rPr>
        <w:t>Derived Race</w:t>
      </w:r>
      <w:r>
        <w:rPr>
          <w:rFonts w:ascii="EB Garamond" w:eastAsia="EB Garamond" w:hAnsi="EB Garamond" w:cs="EB Garamond"/>
          <w:color w:val="222222"/>
          <w:sz w:val="24"/>
          <w:szCs w:val="24"/>
        </w:rPr>
        <w:t xml:space="preserve"> has 7 levels: White, Black/African American, Asian, Pacific Islander, 2 or more minorities, Native American, and Joint.</w:t>
      </w:r>
    </w:p>
    <w:p w14:paraId="25D52C91" w14:textId="77777777" w:rsidR="00DC59DB" w:rsidRDefault="00C6355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E1B8C17" w14:textId="77777777" w:rsidR="00DC59DB" w:rsidRDefault="00C6355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1DA5142" w14:textId="77777777" w:rsidR="00DC59DB" w:rsidRDefault="00C6355D">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Results</w:t>
      </w:r>
    </w:p>
    <w:p w14:paraId="2F6C110B" w14:textId="77777777" w:rsidR="00DC59DB" w:rsidRDefault="00C6355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FD69216" w14:textId="77777777" w:rsidR="00DC59DB" w:rsidRDefault="00C6355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found that women, on average, pay 0.138 points and 0.086 more in </w:t>
      </w:r>
      <w:r>
        <w:rPr>
          <w:rFonts w:ascii="Times New Roman" w:eastAsia="Times New Roman" w:hAnsi="Times New Roman" w:cs="Times New Roman"/>
          <w:sz w:val="24"/>
          <w:szCs w:val="24"/>
        </w:rPr>
        <w:t xml:space="preserve">interest rates than their joint and male counterparts respectively. No statistically significant changes were observed between joint borrowers and males. </w:t>
      </w:r>
    </w:p>
    <w:p w14:paraId="45AF4496" w14:textId="77777777" w:rsidR="00DC59DB" w:rsidRDefault="00DC59DB">
      <w:pPr>
        <w:rPr>
          <w:rFonts w:ascii="Times New Roman" w:eastAsia="Times New Roman" w:hAnsi="Times New Roman" w:cs="Times New Roman"/>
          <w:sz w:val="24"/>
          <w:szCs w:val="24"/>
        </w:rPr>
      </w:pPr>
    </w:p>
    <w:p w14:paraId="6FE70C3A" w14:textId="77777777" w:rsidR="00DC59DB" w:rsidRDefault="00C6355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When we turned our attention to race, we noticed that African Americans tended to pay higher interest rates compared to joint and Caucasian borrowers, although </w:t>
      </w:r>
      <w:proofErr w:type="spellStart"/>
      <w:r>
        <w:rPr>
          <w:rFonts w:ascii="Times New Roman" w:eastAsia="Times New Roman" w:hAnsi="Times New Roman" w:cs="Times New Roman"/>
          <w:sz w:val="24"/>
          <w:szCs w:val="24"/>
        </w:rPr>
        <w:t>not</w:t>
      </w:r>
      <w:proofErr w:type="spellEnd"/>
      <w:r>
        <w:rPr>
          <w:rFonts w:ascii="Times New Roman" w:eastAsia="Times New Roman" w:hAnsi="Times New Roman" w:cs="Times New Roman"/>
          <w:sz w:val="24"/>
          <w:szCs w:val="24"/>
        </w:rPr>
        <w:t xml:space="preserve"> other statistically significant difference was observed with any other minority group. </w:t>
      </w:r>
    </w:p>
    <w:p w14:paraId="0DCCEFD4" w14:textId="77777777" w:rsidR="00DC59DB" w:rsidRDefault="00DC59DB">
      <w:pPr>
        <w:rPr>
          <w:rFonts w:ascii="Times New Roman" w:eastAsia="Times New Roman" w:hAnsi="Times New Roman" w:cs="Times New Roman"/>
          <w:sz w:val="24"/>
          <w:szCs w:val="24"/>
        </w:rPr>
      </w:pPr>
    </w:p>
    <w:p w14:paraId="0A195B14" w14:textId="77777777" w:rsidR="00DC59DB" w:rsidRDefault="00C6355D">
      <w:pPr>
        <w:rPr>
          <w:rFonts w:ascii="Times New Roman" w:eastAsia="Times New Roman" w:hAnsi="Times New Roman" w:cs="Times New Roman"/>
          <w:sz w:val="24"/>
          <w:szCs w:val="24"/>
        </w:rPr>
      </w:pPr>
      <w:r>
        <w:rPr>
          <w:rFonts w:ascii="Times New Roman" w:eastAsia="Times New Roman" w:hAnsi="Times New Roman" w:cs="Times New Roman"/>
          <w:sz w:val="24"/>
          <w:szCs w:val="24"/>
        </w:rPr>
        <w:t>Whe</w:t>
      </w:r>
      <w:r>
        <w:rPr>
          <w:rFonts w:ascii="Times New Roman" w:eastAsia="Times New Roman" w:hAnsi="Times New Roman" w:cs="Times New Roman"/>
          <w:sz w:val="24"/>
          <w:szCs w:val="24"/>
        </w:rPr>
        <w:t xml:space="preserve">n we interacted the explanatory variables, we saw that African American women paid 0.26 points and 0.22 points more in interest rates than Caucasian Joint and Male borrowers respectively.  While African American men paid 0.185 points higher interest rates </w:t>
      </w:r>
      <w:r>
        <w:rPr>
          <w:rFonts w:ascii="Times New Roman" w:eastAsia="Times New Roman" w:hAnsi="Times New Roman" w:cs="Times New Roman"/>
          <w:sz w:val="24"/>
          <w:szCs w:val="24"/>
        </w:rPr>
        <w:t>than Caucasian joint borrowers.</w:t>
      </w:r>
    </w:p>
    <w:p w14:paraId="09C7D78D" w14:textId="77777777" w:rsidR="00DC59DB" w:rsidRDefault="00C6355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2A4E210" w14:textId="77777777" w:rsidR="00DC59DB" w:rsidRDefault="00C6355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A814F3D" w14:textId="77777777" w:rsidR="00DC59DB" w:rsidRDefault="00C6355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total loan costs, joint borrowers paid $1,033 and $1,832 more than males and females respectively. However, there were no statistically significant differences in the total loan costs paid between males and females. </w:t>
      </w:r>
      <w:r>
        <w:rPr>
          <w:rFonts w:ascii="Times New Roman" w:eastAsia="Times New Roman" w:hAnsi="Times New Roman" w:cs="Times New Roman"/>
          <w:sz w:val="24"/>
          <w:szCs w:val="24"/>
        </w:rPr>
        <w:t>When interacting with race, we found that Caucasian joint borrowers paid more in TLC than single Asian and Caucasian borrowers.</w:t>
      </w:r>
    </w:p>
    <w:p w14:paraId="6DC99F50" w14:textId="77777777" w:rsidR="00DC59DB" w:rsidRDefault="00C6355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AF1BD31" w14:textId="77777777" w:rsidR="00DC59DB" w:rsidRDefault="00C6355D">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lender credits, we found no statistically significant differences between any of the race and sex groups. However, for discount points, all three sex groups showed statistically significant differences. Joint borrowers received $1289.59 less points com</w:t>
      </w:r>
      <w:r>
        <w:rPr>
          <w:rFonts w:ascii="Times New Roman" w:eastAsia="Times New Roman" w:hAnsi="Times New Roman" w:cs="Times New Roman"/>
          <w:sz w:val="24"/>
          <w:szCs w:val="24"/>
        </w:rPr>
        <w:t xml:space="preserve">pared to females but received $709.54 more points compared to males. Males received $580.05 points more than females. Finally, we also found that female Asians, female African </w:t>
      </w:r>
      <w:proofErr w:type="gramStart"/>
      <w:r>
        <w:rPr>
          <w:rFonts w:ascii="Times New Roman" w:eastAsia="Times New Roman" w:hAnsi="Times New Roman" w:cs="Times New Roman"/>
          <w:sz w:val="24"/>
          <w:szCs w:val="24"/>
        </w:rPr>
        <w:t>Americans</w:t>
      </w:r>
      <w:proofErr w:type="gramEnd"/>
      <w:r>
        <w:rPr>
          <w:rFonts w:ascii="Times New Roman" w:eastAsia="Times New Roman" w:hAnsi="Times New Roman" w:cs="Times New Roman"/>
          <w:sz w:val="24"/>
          <w:szCs w:val="24"/>
        </w:rPr>
        <w:t xml:space="preserve"> and female Caucasians received more discount points than joint Caucasi</w:t>
      </w:r>
      <w:r>
        <w:rPr>
          <w:rFonts w:ascii="Times New Roman" w:eastAsia="Times New Roman" w:hAnsi="Times New Roman" w:cs="Times New Roman"/>
          <w:sz w:val="24"/>
          <w:szCs w:val="24"/>
        </w:rPr>
        <w:t>an borrowers.</w:t>
      </w:r>
    </w:p>
    <w:p w14:paraId="56F3E7D3" w14:textId="77777777" w:rsidR="00DC59DB" w:rsidRDefault="00DC59DB">
      <w:pPr>
        <w:rPr>
          <w:rFonts w:ascii="Times New Roman" w:eastAsia="Times New Roman" w:hAnsi="Times New Roman" w:cs="Times New Roman"/>
          <w:sz w:val="24"/>
          <w:szCs w:val="24"/>
        </w:rPr>
      </w:pPr>
    </w:p>
    <w:p w14:paraId="66118090" w14:textId="77777777" w:rsidR="00DC59DB" w:rsidRDefault="00C6355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Due to the sheer number of interactions in our data, we have provided Tukey tables that are relevant and showed statistical significance. </w:t>
      </w:r>
    </w:p>
    <w:p w14:paraId="487DF844" w14:textId="77777777" w:rsidR="00DC59DB" w:rsidRDefault="00DC59DB">
      <w:pPr>
        <w:rPr>
          <w:rFonts w:ascii="Times New Roman" w:eastAsia="Times New Roman" w:hAnsi="Times New Roman" w:cs="Times New Roman"/>
          <w:sz w:val="24"/>
          <w:szCs w:val="24"/>
        </w:rPr>
      </w:pPr>
    </w:p>
    <w:p w14:paraId="23AA2E62" w14:textId="77777777" w:rsidR="00DC59DB" w:rsidRDefault="00C6355D">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Tukey tests. Tables of Sex as an explanatory variable</w:t>
      </w:r>
    </w:p>
    <w:p w14:paraId="52C22BBC" w14:textId="77777777" w:rsidR="00DC59DB" w:rsidRDefault="00C6355D">
      <w:pPr>
        <w:ind w:left="720"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14:anchorId="5134203B" wp14:editId="57C55A7D">
            <wp:extent cx="2119313" cy="89107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2119313" cy="891075"/>
                    </a:xfrm>
                    <a:prstGeom prst="rect">
                      <a:avLst/>
                    </a:prstGeom>
                    <a:ln/>
                  </pic:spPr>
                </pic:pic>
              </a:graphicData>
            </a:graphic>
          </wp:inline>
        </w:drawing>
      </w:r>
      <w:r>
        <w:rPr>
          <w:rFonts w:ascii="Times New Roman" w:eastAsia="Times New Roman" w:hAnsi="Times New Roman" w:cs="Times New Roman"/>
          <w:noProof/>
          <w:sz w:val="24"/>
          <w:szCs w:val="24"/>
        </w:rPr>
        <w:drawing>
          <wp:inline distT="19050" distB="19050" distL="19050" distR="19050" wp14:anchorId="492D4C32" wp14:editId="69D0EB62">
            <wp:extent cx="2138363" cy="894005"/>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2138363" cy="894005"/>
                    </a:xfrm>
                    <a:prstGeom prst="rect">
                      <a:avLst/>
                    </a:prstGeom>
                    <a:ln/>
                  </pic:spPr>
                </pic:pic>
              </a:graphicData>
            </a:graphic>
          </wp:inline>
        </w:drawing>
      </w:r>
    </w:p>
    <w:p w14:paraId="7E14A5BB" w14:textId="77777777" w:rsidR="00DC59DB" w:rsidRDefault="00DC59DB">
      <w:pPr>
        <w:rPr>
          <w:rFonts w:ascii="Times New Roman" w:eastAsia="Times New Roman" w:hAnsi="Times New Roman" w:cs="Times New Roman"/>
          <w:sz w:val="24"/>
          <w:szCs w:val="24"/>
        </w:rPr>
      </w:pPr>
    </w:p>
    <w:p w14:paraId="79270059" w14:textId="77777777" w:rsidR="00DC59DB" w:rsidRDefault="00C6355D">
      <w:pPr>
        <w:ind w:left="720"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14:anchorId="0EE30AE9" wp14:editId="37264D3C">
            <wp:extent cx="2138363" cy="902595"/>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2138363" cy="902595"/>
                    </a:xfrm>
                    <a:prstGeom prst="rect">
                      <a:avLst/>
                    </a:prstGeom>
                    <a:ln/>
                  </pic:spPr>
                </pic:pic>
              </a:graphicData>
            </a:graphic>
          </wp:inline>
        </w:drawing>
      </w:r>
      <w:r>
        <w:rPr>
          <w:rFonts w:ascii="Times New Roman" w:eastAsia="Times New Roman" w:hAnsi="Times New Roman" w:cs="Times New Roman"/>
          <w:noProof/>
          <w:sz w:val="24"/>
          <w:szCs w:val="24"/>
        </w:rPr>
        <w:drawing>
          <wp:inline distT="19050" distB="19050" distL="19050" distR="19050" wp14:anchorId="536DC04D" wp14:editId="34772B15">
            <wp:extent cx="2128838" cy="89181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2128838" cy="891810"/>
                    </a:xfrm>
                    <a:prstGeom prst="rect">
                      <a:avLst/>
                    </a:prstGeom>
                    <a:ln/>
                  </pic:spPr>
                </pic:pic>
              </a:graphicData>
            </a:graphic>
          </wp:inline>
        </w:drawing>
      </w:r>
    </w:p>
    <w:p w14:paraId="68455BA1" w14:textId="77777777" w:rsidR="00DC59DB" w:rsidRDefault="00DC59DB">
      <w:pPr>
        <w:rPr>
          <w:rFonts w:ascii="Times New Roman" w:eastAsia="Times New Roman" w:hAnsi="Times New Roman" w:cs="Times New Roman"/>
          <w:sz w:val="24"/>
          <w:szCs w:val="24"/>
        </w:rPr>
      </w:pPr>
    </w:p>
    <w:p w14:paraId="47D90EB9" w14:textId="77777777" w:rsidR="00DC59DB" w:rsidRDefault="00C6355D">
      <w:pPr>
        <w:jc w:val="center"/>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Tukey tests. Tables of Race as an expla</w:t>
      </w:r>
      <w:r>
        <w:rPr>
          <w:rFonts w:ascii="Times New Roman" w:eastAsia="Times New Roman" w:hAnsi="Times New Roman" w:cs="Times New Roman"/>
          <w:b/>
          <w:sz w:val="24"/>
          <w:szCs w:val="24"/>
          <w:u w:val="single"/>
        </w:rPr>
        <w:t>natory variable</w:t>
      </w:r>
      <w:r>
        <w:rPr>
          <w:rFonts w:ascii="Times New Roman" w:eastAsia="Times New Roman" w:hAnsi="Times New Roman" w:cs="Times New Roman"/>
          <w:sz w:val="24"/>
          <w:szCs w:val="24"/>
          <w:u w:val="single"/>
        </w:rPr>
        <w:t xml:space="preserve">. </w:t>
      </w:r>
    </w:p>
    <w:p w14:paraId="6D16A3E0" w14:textId="77777777" w:rsidR="00DC59DB" w:rsidRDefault="00DC59DB">
      <w:pPr>
        <w:jc w:val="center"/>
        <w:rPr>
          <w:rFonts w:ascii="Times New Roman" w:eastAsia="Times New Roman" w:hAnsi="Times New Roman" w:cs="Times New Roman"/>
          <w:sz w:val="24"/>
          <w:szCs w:val="24"/>
          <w:u w:val="single"/>
        </w:rPr>
      </w:pPr>
    </w:p>
    <w:p w14:paraId="1899ABF5" w14:textId="77777777" w:rsidR="00DC59DB" w:rsidRDefault="00C6355D">
      <w:pPr>
        <w:rPr>
          <w:rFonts w:ascii="Times New Roman" w:eastAsia="Times New Roman" w:hAnsi="Times New Roman" w:cs="Times New Roman"/>
          <w:sz w:val="24"/>
          <w:szCs w:val="24"/>
        </w:rPr>
      </w:pPr>
      <w:r>
        <w:rPr>
          <w:rFonts w:ascii="Times New Roman" w:eastAsia="Times New Roman" w:hAnsi="Times New Roman" w:cs="Times New Roman"/>
          <w:sz w:val="24"/>
          <w:szCs w:val="24"/>
        </w:rPr>
        <w:t>Here, only Interest Rate was significant, and only in two of the groups.</w:t>
      </w:r>
    </w:p>
    <w:p w14:paraId="5A6698EA" w14:textId="77777777" w:rsidR="00DC59DB" w:rsidRDefault="00DC59DB">
      <w:pPr>
        <w:rPr>
          <w:rFonts w:ascii="Times New Roman" w:eastAsia="Times New Roman" w:hAnsi="Times New Roman" w:cs="Times New Roman"/>
          <w:sz w:val="24"/>
          <w:szCs w:val="24"/>
        </w:rPr>
      </w:pPr>
    </w:p>
    <w:p w14:paraId="2D052AB7" w14:textId="77777777" w:rsidR="00DC59DB" w:rsidRDefault="00C6355D">
      <w:pPr>
        <w:ind w:left="2160"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14:anchorId="5ABC87B0" wp14:editId="0DAE5A96">
            <wp:extent cx="2231141" cy="788064"/>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2231141" cy="788064"/>
                    </a:xfrm>
                    <a:prstGeom prst="rect">
                      <a:avLst/>
                    </a:prstGeom>
                    <a:ln/>
                  </pic:spPr>
                </pic:pic>
              </a:graphicData>
            </a:graphic>
          </wp:inline>
        </w:drawing>
      </w:r>
    </w:p>
    <w:p w14:paraId="3A4482ED" w14:textId="77777777" w:rsidR="00DC59DB" w:rsidRDefault="00DC59DB">
      <w:pPr>
        <w:rPr>
          <w:rFonts w:ascii="Times New Roman" w:eastAsia="Times New Roman" w:hAnsi="Times New Roman" w:cs="Times New Roman"/>
          <w:sz w:val="24"/>
          <w:szCs w:val="24"/>
        </w:rPr>
      </w:pPr>
    </w:p>
    <w:p w14:paraId="715F8CC5" w14:textId="77777777" w:rsidR="00DC59DB" w:rsidRDefault="00DC59DB">
      <w:pPr>
        <w:rPr>
          <w:rFonts w:ascii="Times New Roman" w:eastAsia="Times New Roman" w:hAnsi="Times New Roman" w:cs="Times New Roman"/>
          <w:sz w:val="24"/>
          <w:szCs w:val="24"/>
        </w:rPr>
      </w:pPr>
    </w:p>
    <w:p w14:paraId="79A85720" w14:textId="77777777" w:rsidR="00DC59DB" w:rsidRDefault="00DC59DB">
      <w:pPr>
        <w:rPr>
          <w:rFonts w:ascii="Times New Roman" w:eastAsia="Times New Roman" w:hAnsi="Times New Roman" w:cs="Times New Roman"/>
          <w:sz w:val="24"/>
          <w:szCs w:val="24"/>
        </w:rPr>
      </w:pPr>
    </w:p>
    <w:p w14:paraId="4A2366AD" w14:textId="77777777" w:rsidR="00DC59DB" w:rsidRDefault="00C6355D">
      <w:pPr>
        <w:jc w:val="center"/>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 xml:space="preserve">Tukey tests. Tables of the Interaction </w:t>
      </w:r>
      <w:proofErr w:type="spellStart"/>
      <w:proofErr w:type="gramStart"/>
      <w:r>
        <w:rPr>
          <w:rFonts w:ascii="Times New Roman" w:eastAsia="Times New Roman" w:hAnsi="Times New Roman" w:cs="Times New Roman"/>
          <w:b/>
          <w:sz w:val="24"/>
          <w:szCs w:val="24"/>
          <w:u w:val="single"/>
        </w:rPr>
        <w:t>Sex:Race</w:t>
      </w:r>
      <w:proofErr w:type="spellEnd"/>
      <w:proofErr w:type="gramEnd"/>
      <w:r>
        <w:rPr>
          <w:rFonts w:ascii="Times New Roman" w:eastAsia="Times New Roman" w:hAnsi="Times New Roman" w:cs="Times New Roman"/>
          <w:b/>
          <w:sz w:val="24"/>
          <w:szCs w:val="24"/>
          <w:u w:val="single"/>
        </w:rPr>
        <w:t xml:space="preserve"> as explanatory variables.</w:t>
      </w:r>
      <w:r>
        <w:rPr>
          <w:rFonts w:ascii="Times New Roman" w:eastAsia="Times New Roman" w:hAnsi="Times New Roman" w:cs="Times New Roman"/>
          <w:sz w:val="24"/>
          <w:szCs w:val="24"/>
          <w:u w:val="single"/>
        </w:rPr>
        <w:t xml:space="preserve"> </w:t>
      </w:r>
    </w:p>
    <w:p w14:paraId="4B26E505" w14:textId="77777777" w:rsidR="00DC59DB" w:rsidRDefault="00DC59DB">
      <w:pPr>
        <w:rPr>
          <w:rFonts w:ascii="Times New Roman" w:eastAsia="Times New Roman" w:hAnsi="Times New Roman" w:cs="Times New Roman"/>
          <w:sz w:val="24"/>
          <w:szCs w:val="24"/>
        </w:rPr>
      </w:pPr>
    </w:p>
    <w:p w14:paraId="2E2CD96B" w14:textId="77777777" w:rsidR="00DC59DB" w:rsidRDefault="00C6355D">
      <w:pPr>
        <w:rPr>
          <w:rFonts w:ascii="Times New Roman" w:eastAsia="Times New Roman" w:hAnsi="Times New Roman" w:cs="Times New Roman"/>
          <w:sz w:val="24"/>
          <w:szCs w:val="24"/>
        </w:rPr>
      </w:pPr>
      <w:r>
        <w:rPr>
          <w:rFonts w:ascii="Times New Roman" w:eastAsia="Times New Roman" w:hAnsi="Times New Roman" w:cs="Times New Roman"/>
          <w:sz w:val="24"/>
          <w:szCs w:val="24"/>
        </w:rPr>
        <w:t>Again, we only show those results with statistical significance.</w:t>
      </w:r>
    </w:p>
    <w:p w14:paraId="099DA73B" w14:textId="77777777" w:rsidR="00DC59DB" w:rsidRDefault="00DC59DB">
      <w:pPr>
        <w:rPr>
          <w:rFonts w:ascii="Times New Roman" w:eastAsia="Times New Roman" w:hAnsi="Times New Roman" w:cs="Times New Roman"/>
          <w:sz w:val="24"/>
          <w:szCs w:val="24"/>
        </w:rPr>
      </w:pPr>
    </w:p>
    <w:p w14:paraId="00252F3F" w14:textId="77777777" w:rsidR="00DC59DB" w:rsidRDefault="00C6355D">
      <w:pPr>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14:anchorId="74D5D254" wp14:editId="49F2D64D">
            <wp:extent cx="2533650" cy="93332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2533650" cy="933320"/>
                    </a:xfrm>
                    <a:prstGeom prst="rect">
                      <a:avLst/>
                    </a:prstGeom>
                    <a:ln/>
                  </pic:spPr>
                </pic:pic>
              </a:graphicData>
            </a:graphic>
          </wp:inline>
        </w:drawing>
      </w:r>
      <w:r>
        <w:rPr>
          <w:rFonts w:ascii="Times New Roman" w:eastAsia="Times New Roman" w:hAnsi="Times New Roman" w:cs="Times New Roman"/>
          <w:noProof/>
          <w:sz w:val="24"/>
          <w:szCs w:val="24"/>
        </w:rPr>
        <w:drawing>
          <wp:inline distT="19050" distB="19050" distL="19050" distR="19050" wp14:anchorId="0414367F" wp14:editId="167B568B">
            <wp:extent cx="2436352" cy="916149"/>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srcRect/>
                    <a:stretch>
                      <a:fillRect/>
                    </a:stretch>
                  </pic:blipFill>
                  <pic:spPr>
                    <a:xfrm>
                      <a:off x="0" y="0"/>
                      <a:ext cx="2436352" cy="916149"/>
                    </a:xfrm>
                    <a:prstGeom prst="rect">
                      <a:avLst/>
                    </a:prstGeom>
                    <a:ln/>
                  </pic:spPr>
                </pic:pic>
              </a:graphicData>
            </a:graphic>
          </wp:inline>
        </w:drawing>
      </w:r>
    </w:p>
    <w:p w14:paraId="2D9228D4" w14:textId="77777777" w:rsidR="00DC59DB" w:rsidRDefault="00C6355D">
      <w:pPr>
        <w:ind w:left="1440"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14:anchorId="14B3D303" wp14:editId="51B2DCA0">
            <wp:extent cx="2614613" cy="989674"/>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3"/>
                    <a:srcRect/>
                    <a:stretch>
                      <a:fillRect/>
                    </a:stretch>
                  </pic:blipFill>
                  <pic:spPr>
                    <a:xfrm>
                      <a:off x="0" y="0"/>
                      <a:ext cx="2614613" cy="989674"/>
                    </a:xfrm>
                    <a:prstGeom prst="rect">
                      <a:avLst/>
                    </a:prstGeom>
                    <a:ln/>
                  </pic:spPr>
                </pic:pic>
              </a:graphicData>
            </a:graphic>
          </wp:inline>
        </w:drawing>
      </w:r>
    </w:p>
    <w:p w14:paraId="5B35158C" w14:textId="77777777" w:rsidR="00DC59DB" w:rsidRDefault="00C6355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E887D7E" w14:textId="77777777" w:rsidR="00DC59DB" w:rsidRDefault="00C6355D">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Interpretation</w:t>
      </w:r>
    </w:p>
    <w:p w14:paraId="7543183F" w14:textId="77777777" w:rsidR="00DC59DB" w:rsidRDefault="00C6355D">
      <w:pPr>
        <w:rPr>
          <w:rFonts w:ascii="EB Garamond" w:eastAsia="EB Garamond" w:hAnsi="EB Garamond" w:cs="EB Garamond"/>
          <w:sz w:val="24"/>
          <w:szCs w:val="24"/>
        </w:rPr>
      </w:pPr>
      <w:r>
        <w:rPr>
          <w:rFonts w:ascii="EB Garamond" w:eastAsia="EB Garamond" w:hAnsi="EB Garamond" w:cs="EB Garamond"/>
          <w:sz w:val="24"/>
          <w:szCs w:val="24"/>
        </w:rPr>
        <w:t>Although we have found some differences between different groups, due to the limited nature of our data, we cannot conclusively state that these observed differences ar</w:t>
      </w:r>
      <w:r>
        <w:rPr>
          <w:rFonts w:ascii="EB Garamond" w:eastAsia="EB Garamond" w:hAnsi="EB Garamond" w:cs="EB Garamond"/>
          <w:sz w:val="24"/>
          <w:szCs w:val="24"/>
        </w:rPr>
        <w:t xml:space="preserve">e due to unfair or ill-intentioned lending practices. Especially since we were unable to control for individual differences </w:t>
      </w:r>
      <w:r>
        <w:rPr>
          <w:rFonts w:ascii="Times New Roman" w:eastAsia="Times New Roman" w:hAnsi="Times New Roman" w:cs="Times New Roman"/>
          <w:sz w:val="24"/>
          <w:szCs w:val="24"/>
        </w:rPr>
        <w:t>such as risk appetite, credit history, or income level. However, this is an interesting starting point for future analysis on the li</w:t>
      </w:r>
      <w:r>
        <w:rPr>
          <w:rFonts w:ascii="Times New Roman" w:eastAsia="Times New Roman" w:hAnsi="Times New Roman" w:cs="Times New Roman"/>
          <w:sz w:val="24"/>
          <w:szCs w:val="24"/>
        </w:rPr>
        <w:t>mitations on the access to loans and payment facilities some social groups have.</w:t>
      </w:r>
    </w:p>
    <w:p w14:paraId="2A06220C" w14:textId="77777777" w:rsidR="00DC59DB" w:rsidRDefault="00DC59DB">
      <w:pPr>
        <w:rPr>
          <w:rFonts w:ascii="EB Garamond" w:eastAsia="EB Garamond" w:hAnsi="EB Garamond" w:cs="EB Garamond"/>
          <w:b/>
          <w:sz w:val="24"/>
          <w:szCs w:val="24"/>
        </w:rPr>
      </w:pPr>
    </w:p>
    <w:p w14:paraId="4854F542" w14:textId="77777777" w:rsidR="00DC59DB" w:rsidRDefault="00C6355D">
      <w:pPr>
        <w:rPr>
          <w:rFonts w:ascii="EB Garamond" w:eastAsia="EB Garamond" w:hAnsi="EB Garamond" w:cs="EB Garamond"/>
          <w:b/>
          <w:sz w:val="24"/>
          <w:szCs w:val="24"/>
        </w:rPr>
      </w:pPr>
      <w:r>
        <w:rPr>
          <w:rFonts w:ascii="EB Garamond" w:eastAsia="EB Garamond" w:hAnsi="EB Garamond" w:cs="EB Garamond"/>
          <w:b/>
          <w:sz w:val="24"/>
          <w:szCs w:val="24"/>
        </w:rPr>
        <w:t xml:space="preserve">Limitations &amp; Other Considerations </w:t>
      </w:r>
    </w:p>
    <w:p w14:paraId="7E51C914" w14:textId="77777777" w:rsidR="00DC59DB" w:rsidRDefault="00DC59DB">
      <w:pPr>
        <w:rPr>
          <w:rFonts w:ascii="EB Garamond" w:eastAsia="EB Garamond" w:hAnsi="EB Garamond" w:cs="EB Garamond"/>
          <w:b/>
          <w:sz w:val="24"/>
          <w:szCs w:val="24"/>
        </w:rPr>
      </w:pPr>
    </w:p>
    <w:p w14:paraId="229BF7E2" w14:textId="77777777" w:rsidR="00DC59DB" w:rsidRDefault="00C6355D">
      <w:pPr>
        <w:rPr>
          <w:rFonts w:ascii="EB Garamond" w:eastAsia="EB Garamond" w:hAnsi="EB Garamond" w:cs="EB Garamond"/>
          <w:sz w:val="24"/>
          <w:szCs w:val="24"/>
        </w:rPr>
      </w:pPr>
      <w:r>
        <w:rPr>
          <w:rFonts w:ascii="Times New Roman" w:eastAsia="Times New Roman" w:hAnsi="Times New Roman" w:cs="Times New Roman"/>
          <w:sz w:val="24"/>
          <w:szCs w:val="24"/>
        </w:rPr>
        <w:t>Some limitations of the proposed analysis are that we were not able to control for the effects of the property’s physical attributes nor the effect of individual preferences on the response variables we analyzed. We were also limited by the number of commu</w:t>
      </w:r>
      <w:r>
        <w:rPr>
          <w:rFonts w:ascii="Times New Roman" w:eastAsia="Times New Roman" w:hAnsi="Times New Roman" w:cs="Times New Roman"/>
          <w:sz w:val="24"/>
          <w:szCs w:val="24"/>
        </w:rPr>
        <w:t>nity variables reported in the data source. In the future, it would be advisable to include additional variables that consider the livability of the area. For instance, is the property near a good school, is it safe with a low crime rate or is it a walkabl</w:t>
      </w:r>
      <w:r>
        <w:rPr>
          <w:rFonts w:ascii="Times New Roman" w:eastAsia="Times New Roman" w:hAnsi="Times New Roman" w:cs="Times New Roman"/>
          <w:sz w:val="24"/>
          <w:szCs w:val="24"/>
        </w:rPr>
        <w:t xml:space="preserve">e neighborhood.  Individual preferences, such as risk appetite, credit history,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should also be included to assess differences in the amount paid in interest rates and loan costs.</w:t>
      </w:r>
    </w:p>
    <w:p w14:paraId="54815711" w14:textId="77777777" w:rsidR="00DC59DB" w:rsidRDefault="00C6355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Another way our study could have benefitted was by conducting a cluster </w:t>
      </w:r>
      <w:r>
        <w:rPr>
          <w:rFonts w:ascii="Times New Roman" w:eastAsia="Times New Roman" w:hAnsi="Times New Roman" w:cs="Times New Roman"/>
          <w:sz w:val="24"/>
          <w:szCs w:val="24"/>
        </w:rPr>
        <w:t>analysis.  For instance, often those in the lower income groups tend to be minorities.  In the future, it would be worthwhile to cluster some groups and analyze the interactions within those specific groups, particularly those that showed statistical signi</w:t>
      </w:r>
      <w:r>
        <w:rPr>
          <w:rFonts w:ascii="Times New Roman" w:eastAsia="Times New Roman" w:hAnsi="Times New Roman" w:cs="Times New Roman"/>
          <w:sz w:val="24"/>
          <w:szCs w:val="24"/>
        </w:rPr>
        <w:t xml:space="preserve">ficance in the differences between their loan costs and payment facilities.  </w:t>
      </w:r>
    </w:p>
    <w:p w14:paraId="00F60956" w14:textId="77777777" w:rsidR="00DC59DB" w:rsidRDefault="00C6355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9D0D9C4" w14:textId="77777777" w:rsidR="00DC59DB" w:rsidRDefault="00C6355D">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5C3F36E1" w14:textId="77777777" w:rsidR="00DC59DB" w:rsidRDefault="00C6355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2932BA" w14:textId="77777777" w:rsidR="00DC59DB" w:rsidRDefault="00C6355D">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paper examined the effect of community factors on DC property values in the year 2020 and investigated whether women and minorities differ in how much they pa</w:t>
      </w:r>
      <w:r>
        <w:rPr>
          <w:rFonts w:ascii="Times New Roman" w:eastAsia="Times New Roman" w:hAnsi="Times New Roman" w:cs="Times New Roman"/>
          <w:sz w:val="24"/>
          <w:szCs w:val="24"/>
        </w:rPr>
        <w:t>y in interest rates and loan costs. Theoretically, we would expect that almost all the price variance for property values would come from the physical attributes of the property itself. However, we found that about 24% of the price variance in our data cam</w:t>
      </w:r>
      <w:r>
        <w:rPr>
          <w:rFonts w:ascii="Times New Roman" w:eastAsia="Times New Roman" w:hAnsi="Times New Roman" w:cs="Times New Roman"/>
          <w:sz w:val="24"/>
          <w:szCs w:val="24"/>
        </w:rPr>
        <w:t xml:space="preserve">e from community factors. We also found instances of differences in how much women and minorities pay regarding mortgage loan costs and interest rates; however, we are not able to conclusively state that this difference is due to unfair lending practices. </w:t>
      </w:r>
      <w:r>
        <w:rPr>
          <w:rFonts w:ascii="Times New Roman" w:eastAsia="Times New Roman" w:hAnsi="Times New Roman" w:cs="Times New Roman"/>
          <w:sz w:val="24"/>
          <w:szCs w:val="24"/>
        </w:rPr>
        <w:t xml:space="preserve"> </w:t>
      </w:r>
    </w:p>
    <w:p w14:paraId="478BCD01" w14:textId="77777777" w:rsidR="00DC59DB" w:rsidRDefault="00DC59DB"/>
    <w:p w14:paraId="59448B7C" w14:textId="77777777" w:rsidR="00DC59DB" w:rsidRDefault="00DC59DB"/>
    <w:p w14:paraId="35A80065" w14:textId="77777777" w:rsidR="00DC59DB" w:rsidRDefault="00C6355D">
      <w:pPr>
        <w:jc w:val="center"/>
        <w:rPr>
          <w:b/>
        </w:rPr>
      </w:pPr>
      <w:r>
        <w:rPr>
          <w:b/>
        </w:rPr>
        <w:t xml:space="preserve">References  </w:t>
      </w:r>
    </w:p>
    <w:p w14:paraId="0923EF32" w14:textId="77777777" w:rsidR="00DC59DB" w:rsidRDefault="00DC59DB">
      <w:pPr>
        <w:jc w:val="center"/>
        <w:rPr>
          <w:b/>
        </w:rPr>
      </w:pPr>
    </w:p>
    <w:p w14:paraId="429C1619" w14:textId="77777777" w:rsidR="00DC59DB" w:rsidRDefault="00C6355D">
      <w:pPr>
        <w:rPr>
          <w:rFonts w:ascii="EB Garamond" w:eastAsia="EB Garamond" w:hAnsi="EB Garamond" w:cs="EB Garamond"/>
          <w:sz w:val="24"/>
          <w:szCs w:val="24"/>
        </w:rPr>
      </w:pPr>
      <w:proofErr w:type="spellStart"/>
      <w:r>
        <w:rPr>
          <w:rFonts w:ascii="EB Garamond" w:eastAsia="EB Garamond" w:hAnsi="EB Garamond" w:cs="EB Garamond"/>
          <w:sz w:val="24"/>
          <w:szCs w:val="24"/>
        </w:rPr>
        <w:t>Bhutta</w:t>
      </w:r>
      <w:proofErr w:type="spellEnd"/>
      <w:r>
        <w:rPr>
          <w:rFonts w:ascii="EB Garamond" w:eastAsia="EB Garamond" w:hAnsi="EB Garamond" w:cs="EB Garamond"/>
          <w:sz w:val="24"/>
          <w:szCs w:val="24"/>
        </w:rPr>
        <w:t xml:space="preserve"> and </w:t>
      </w:r>
      <w:proofErr w:type="spellStart"/>
      <w:r>
        <w:rPr>
          <w:rFonts w:ascii="EB Garamond" w:eastAsia="EB Garamond" w:hAnsi="EB Garamond" w:cs="EB Garamond"/>
          <w:sz w:val="24"/>
          <w:szCs w:val="24"/>
        </w:rPr>
        <w:t>Hizmo</w:t>
      </w:r>
      <w:proofErr w:type="spellEnd"/>
      <w:r>
        <w:rPr>
          <w:rFonts w:ascii="EB Garamond" w:eastAsia="EB Garamond" w:hAnsi="EB Garamond" w:cs="EB Garamond"/>
          <w:sz w:val="24"/>
          <w:szCs w:val="24"/>
        </w:rPr>
        <w:t xml:space="preserve">. </w:t>
      </w:r>
      <w:proofErr w:type="gramStart"/>
      <w:r>
        <w:rPr>
          <w:rFonts w:ascii="EB Garamond" w:eastAsia="EB Garamond" w:hAnsi="EB Garamond" w:cs="EB Garamond"/>
          <w:sz w:val="24"/>
          <w:szCs w:val="24"/>
        </w:rPr>
        <w:t>“ Do</w:t>
      </w:r>
      <w:proofErr w:type="gramEnd"/>
      <w:r>
        <w:rPr>
          <w:rFonts w:ascii="EB Garamond" w:eastAsia="EB Garamond" w:hAnsi="EB Garamond" w:cs="EB Garamond"/>
          <w:sz w:val="24"/>
          <w:szCs w:val="24"/>
        </w:rPr>
        <w:t xml:space="preserve"> Minorities Pay More for Mortgages?”.  The Oxford Academy. </w:t>
      </w:r>
      <w:hyperlink r:id="rId24">
        <w:r>
          <w:rPr>
            <w:rFonts w:ascii="EB Garamond" w:eastAsia="EB Garamond" w:hAnsi="EB Garamond" w:cs="EB Garamond"/>
            <w:color w:val="1155CC"/>
            <w:sz w:val="24"/>
            <w:szCs w:val="24"/>
            <w:u w:val="single"/>
          </w:rPr>
          <w:t>academic.oup.com/</w:t>
        </w:r>
        <w:proofErr w:type="spellStart"/>
        <w:r>
          <w:rPr>
            <w:rFonts w:ascii="EB Garamond" w:eastAsia="EB Garamond" w:hAnsi="EB Garamond" w:cs="EB Garamond"/>
            <w:color w:val="1155CC"/>
            <w:sz w:val="24"/>
            <w:szCs w:val="24"/>
            <w:u w:val="single"/>
          </w:rPr>
          <w:t>rfs</w:t>
        </w:r>
        <w:proofErr w:type="spellEnd"/>
        <w:r>
          <w:rPr>
            <w:rFonts w:ascii="EB Garamond" w:eastAsia="EB Garamond" w:hAnsi="EB Garamond" w:cs="EB Garamond"/>
            <w:color w:val="1155CC"/>
            <w:sz w:val="24"/>
            <w:szCs w:val="24"/>
            <w:u w:val="single"/>
          </w:rPr>
          <w:t>/article/34/2/763/5827007?login=true</w:t>
        </w:r>
      </w:hyperlink>
      <w:r>
        <w:rPr>
          <w:rFonts w:ascii="EB Garamond" w:eastAsia="EB Garamond" w:hAnsi="EB Garamond" w:cs="EB Garamond"/>
          <w:sz w:val="24"/>
          <w:szCs w:val="24"/>
        </w:rPr>
        <w:t xml:space="preserve"> April/29/2020. R</w:t>
      </w:r>
      <w:r>
        <w:rPr>
          <w:rFonts w:ascii="EB Garamond" w:eastAsia="EB Garamond" w:hAnsi="EB Garamond" w:cs="EB Garamond"/>
          <w:sz w:val="24"/>
          <w:szCs w:val="24"/>
        </w:rPr>
        <w:t xml:space="preserve">etrieved in </w:t>
      </w:r>
      <w:proofErr w:type="gramStart"/>
      <w:r>
        <w:rPr>
          <w:rFonts w:ascii="EB Garamond" w:eastAsia="EB Garamond" w:hAnsi="EB Garamond" w:cs="EB Garamond"/>
          <w:sz w:val="24"/>
          <w:szCs w:val="24"/>
        </w:rPr>
        <w:t>April,</w:t>
      </w:r>
      <w:proofErr w:type="gramEnd"/>
      <w:r>
        <w:rPr>
          <w:rFonts w:ascii="EB Garamond" w:eastAsia="EB Garamond" w:hAnsi="EB Garamond" w:cs="EB Garamond"/>
          <w:sz w:val="24"/>
          <w:szCs w:val="24"/>
        </w:rPr>
        <w:t xml:space="preserve"> 2022.</w:t>
      </w:r>
    </w:p>
    <w:p w14:paraId="79089B1D" w14:textId="77777777" w:rsidR="00DC59DB" w:rsidRDefault="00DC59DB"/>
    <w:p w14:paraId="5A33A62A" w14:textId="77777777" w:rsidR="00DC59DB" w:rsidRDefault="00C6355D">
      <w:pPr>
        <w:widowControl w:val="0"/>
        <w:rPr>
          <w:rFonts w:ascii="EB Garamond" w:eastAsia="EB Garamond" w:hAnsi="EB Garamond" w:cs="EB Garamond"/>
          <w:color w:val="222222"/>
          <w:sz w:val="24"/>
          <w:szCs w:val="24"/>
        </w:rPr>
      </w:pPr>
      <w:r>
        <w:rPr>
          <w:rFonts w:ascii="EB Garamond" w:eastAsia="EB Garamond" w:hAnsi="EB Garamond" w:cs="EB Garamond"/>
          <w:color w:val="222222"/>
          <w:sz w:val="24"/>
          <w:szCs w:val="24"/>
        </w:rPr>
        <w:t xml:space="preserve">Federal Reserve of the United States. “Home Mortgage Disclosure Act Examination Procedures”. </w:t>
      </w:r>
    </w:p>
    <w:p w14:paraId="0A7A7234" w14:textId="77777777" w:rsidR="00DC59DB" w:rsidRDefault="00C6355D">
      <w:pPr>
        <w:widowControl w:val="0"/>
      </w:pPr>
      <w:hyperlink r:id="rId25">
        <w:r>
          <w:rPr>
            <w:rFonts w:ascii="EB Garamond" w:eastAsia="EB Garamond" w:hAnsi="EB Garamond" w:cs="EB Garamond"/>
            <w:color w:val="1155CC"/>
            <w:sz w:val="24"/>
            <w:szCs w:val="24"/>
            <w:u w:val="single"/>
          </w:rPr>
          <w:t>www.federalreserve.gov/boarddocs/caletters/2009/0910/09-10_attachment.pdf</w:t>
        </w:r>
      </w:hyperlink>
      <w:r>
        <w:rPr>
          <w:rFonts w:ascii="EB Garamond" w:eastAsia="EB Garamond" w:hAnsi="EB Garamond" w:cs="EB Garamond"/>
          <w:color w:val="222222"/>
          <w:sz w:val="24"/>
          <w:szCs w:val="24"/>
        </w:rPr>
        <w:t xml:space="preserve">. Retrieved in </w:t>
      </w:r>
      <w:proofErr w:type="gramStart"/>
      <w:r>
        <w:rPr>
          <w:rFonts w:ascii="EB Garamond" w:eastAsia="EB Garamond" w:hAnsi="EB Garamond" w:cs="EB Garamond"/>
          <w:color w:val="222222"/>
          <w:sz w:val="24"/>
          <w:szCs w:val="24"/>
        </w:rPr>
        <w:t>April,</w:t>
      </w:r>
      <w:proofErr w:type="gramEnd"/>
      <w:r>
        <w:rPr>
          <w:rFonts w:ascii="EB Garamond" w:eastAsia="EB Garamond" w:hAnsi="EB Garamond" w:cs="EB Garamond"/>
          <w:color w:val="222222"/>
          <w:sz w:val="24"/>
          <w:szCs w:val="24"/>
        </w:rPr>
        <w:t xml:space="preserve"> 2022.</w:t>
      </w:r>
    </w:p>
    <w:p w14:paraId="167BD94F" w14:textId="77777777" w:rsidR="00DC59DB" w:rsidRDefault="00DC59DB">
      <w:pPr>
        <w:rPr>
          <w:rFonts w:ascii="EB Garamond" w:eastAsia="EB Garamond" w:hAnsi="EB Garamond" w:cs="EB Garamond"/>
          <w:sz w:val="24"/>
          <w:szCs w:val="24"/>
        </w:rPr>
      </w:pPr>
    </w:p>
    <w:p w14:paraId="284C69D1" w14:textId="77777777" w:rsidR="00DC59DB" w:rsidRDefault="00C6355D">
      <w:pPr>
        <w:widowControl w:val="0"/>
        <w:rPr>
          <w:rFonts w:ascii="EB Garamond" w:eastAsia="EB Garamond" w:hAnsi="EB Garamond" w:cs="EB Garamond"/>
          <w:sz w:val="24"/>
          <w:szCs w:val="24"/>
        </w:rPr>
      </w:pPr>
      <w:r>
        <w:rPr>
          <w:rFonts w:ascii="EB Garamond" w:eastAsia="EB Garamond" w:hAnsi="EB Garamond" w:cs="EB Garamond"/>
          <w:sz w:val="24"/>
          <w:szCs w:val="24"/>
        </w:rPr>
        <w:t xml:space="preserve">Howell and Korver-Glenn. “Race determines home values more today than it did in 1980”. Rice Kinder, Institute for Urban Research </w:t>
      </w:r>
      <w:hyperlink r:id="rId26">
        <w:r>
          <w:rPr>
            <w:rFonts w:ascii="EB Garamond" w:eastAsia="EB Garamond" w:hAnsi="EB Garamond" w:cs="EB Garamond"/>
            <w:color w:val="1155CC"/>
            <w:sz w:val="24"/>
            <w:szCs w:val="24"/>
            <w:highlight w:val="white"/>
            <w:u w:val="single"/>
          </w:rPr>
          <w:t>kinder.rice.edu/urbanedge/2020/09/24/housing-racial-disparities-race-still-determines-home-values-America</w:t>
        </w:r>
      </w:hyperlink>
      <w:r>
        <w:rPr>
          <w:rFonts w:ascii="EB Garamond" w:eastAsia="EB Garamond" w:hAnsi="EB Garamond" w:cs="EB Garamond"/>
          <w:color w:val="222222"/>
          <w:sz w:val="24"/>
          <w:szCs w:val="24"/>
        </w:rPr>
        <w:t xml:space="preserve"> Sep/24/2022. Retrieved in </w:t>
      </w:r>
      <w:proofErr w:type="gramStart"/>
      <w:r>
        <w:rPr>
          <w:rFonts w:ascii="EB Garamond" w:eastAsia="EB Garamond" w:hAnsi="EB Garamond" w:cs="EB Garamond"/>
          <w:color w:val="222222"/>
          <w:sz w:val="24"/>
          <w:szCs w:val="24"/>
        </w:rPr>
        <w:t>April,</w:t>
      </w:r>
      <w:proofErr w:type="gramEnd"/>
      <w:r>
        <w:rPr>
          <w:rFonts w:ascii="EB Garamond" w:eastAsia="EB Garamond" w:hAnsi="EB Garamond" w:cs="EB Garamond"/>
          <w:color w:val="222222"/>
          <w:sz w:val="24"/>
          <w:szCs w:val="24"/>
        </w:rPr>
        <w:t xml:space="preserve"> 2022</w:t>
      </w:r>
    </w:p>
    <w:p w14:paraId="168440A8" w14:textId="77777777" w:rsidR="00DC59DB" w:rsidRDefault="00DC59DB">
      <w:pPr>
        <w:rPr>
          <w:rFonts w:ascii="EB Garamond" w:eastAsia="EB Garamond" w:hAnsi="EB Garamond" w:cs="EB Garamond"/>
          <w:sz w:val="24"/>
          <w:szCs w:val="24"/>
        </w:rPr>
      </w:pPr>
    </w:p>
    <w:p w14:paraId="6AB13CAE" w14:textId="77777777" w:rsidR="00DC59DB" w:rsidRDefault="00C6355D">
      <w:pPr>
        <w:rPr>
          <w:rFonts w:ascii="EB Garamond" w:eastAsia="EB Garamond" w:hAnsi="EB Garamond" w:cs="EB Garamond"/>
          <w:sz w:val="24"/>
          <w:szCs w:val="24"/>
        </w:rPr>
      </w:pPr>
      <w:r>
        <w:rPr>
          <w:rFonts w:ascii="EB Garamond" w:eastAsia="EB Garamond" w:hAnsi="EB Garamond" w:cs="EB Garamond"/>
          <w:sz w:val="24"/>
          <w:szCs w:val="24"/>
        </w:rPr>
        <w:t xml:space="preserve">Lee and Bostic. “Bank adaptation to neighborhood change: Mortgage lending and the Community Reinvestment </w:t>
      </w:r>
      <w:r>
        <w:rPr>
          <w:rFonts w:ascii="EB Garamond" w:eastAsia="EB Garamond" w:hAnsi="EB Garamond" w:cs="EB Garamond"/>
          <w:sz w:val="24"/>
          <w:szCs w:val="24"/>
        </w:rPr>
        <w:t xml:space="preserve">Act”. Journal of Urban Economics, </w:t>
      </w:r>
      <w:r>
        <w:rPr>
          <w:sz w:val="21"/>
          <w:szCs w:val="21"/>
        </w:rPr>
        <w:t>Volume 116</w:t>
      </w:r>
      <w:r>
        <w:rPr>
          <w:color w:val="2E2E2E"/>
          <w:sz w:val="21"/>
          <w:szCs w:val="21"/>
        </w:rPr>
        <w:t xml:space="preserve">, March 2020, 103211. </w:t>
      </w:r>
      <w:hyperlink r:id="rId27">
        <w:r>
          <w:rPr>
            <w:rFonts w:ascii="EB Garamond" w:eastAsia="EB Garamond" w:hAnsi="EB Garamond" w:cs="EB Garamond"/>
            <w:color w:val="1155CC"/>
            <w:sz w:val="24"/>
            <w:szCs w:val="24"/>
            <w:u w:val="single"/>
          </w:rPr>
          <w:t>www.sciencedirect.com/science/article/pii/S0094119019300889</w:t>
        </w:r>
      </w:hyperlink>
      <w:r>
        <w:rPr>
          <w:rFonts w:ascii="EB Garamond" w:eastAsia="EB Garamond" w:hAnsi="EB Garamond" w:cs="EB Garamond"/>
          <w:sz w:val="24"/>
          <w:szCs w:val="24"/>
        </w:rPr>
        <w:t xml:space="preserve"> Retrieved in </w:t>
      </w:r>
      <w:proofErr w:type="gramStart"/>
      <w:r>
        <w:rPr>
          <w:rFonts w:ascii="EB Garamond" w:eastAsia="EB Garamond" w:hAnsi="EB Garamond" w:cs="EB Garamond"/>
          <w:sz w:val="24"/>
          <w:szCs w:val="24"/>
        </w:rPr>
        <w:t>April,</w:t>
      </w:r>
      <w:proofErr w:type="gramEnd"/>
      <w:r>
        <w:rPr>
          <w:rFonts w:ascii="EB Garamond" w:eastAsia="EB Garamond" w:hAnsi="EB Garamond" w:cs="EB Garamond"/>
          <w:sz w:val="24"/>
          <w:szCs w:val="24"/>
        </w:rPr>
        <w:t xml:space="preserve"> 2022.</w:t>
      </w:r>
    </w:p>
    <w:p w14:paraId="2C71BC46" w14:textId="77777777" w:rsidR="00DC59DB" w:rsidRDefault="00DC59DB">
      <w:pPr>
        <w:rPr>
          <w:rFonts w:ascii="EB Garamond" w:eastAsia="EB Garamond" w:hAnsi="EB Garamond" w:cs="EB Garamond"/>
          <w:sz w:val="24"/>
          <w:szCs w:val="24"/>
        </w:rPr>
      </w:pPr>
    </w:p>
    <w:p w14:paraId="225093D6" w14:textId="77777777" w:rsidR="00DC59DB" w:rsidRDefault="00C6355D">
      <w:pPr>
        <w:rPr>
          <w:rFonts w:ascii="EB Garamond" w:eastAsia="EB Garamond" w:hAnsi="EB Garamond" w:cs="EB Garamond"/>
          <w:sz w:val="24"/>
          <w:szCs w:val="24"/>
        </w:rPr>
      </w:pPr>
      <w:r>
        <w:lastRenderedPageBreak/>
        <w:t xml:space="preserve">Mathews, Chris. </w:t>
      </w:r>
      <w:r>
        <w:rPr>
          <w:rFonts w:ascii="EB Garamond" w:eastAsia="EB Garamond" w:hAnsi="EB Garamond" w:cs="EB Garamond"/>
          <w:sz w:val="24"/>
          <w:szCs w:val="24"/>
        </w:rPr>
        <w:t xml:space="preserve">“Study Finds Women are Charged Higher Rates for Mortgages”. </w:t>
      </w:r>
      <w:hyperlink r:id="rId28">
        <w:r>
          <w:rPr>
            <w:rFonts w:ascii="EB Garamond" w:eastAsia="EB Garamond" w:hAnsi="EB Garamond" w:cs="EB Garamond"/>
            <w:color w:val="1155CC"/>
            <w:sz w:val="24"/>
            <w:szCs w:val="24"/>
            <w:u w:val="single"/>
          </w:rPr>
          <w:t>fortune.com/2016/09/08/study-finds-women-are-charged-higher-rates-for-mortgages/</w:t>
        </w:r>
      </w:hyperlink>
      <w:r>
        <w:rPr>
          <w:rFonts w:ascii="EB Garamond" w:eastAsia="EB Garamond" w:hAnsi="EB Garamond" w:cs="EB Garamond"/>
          <w:sz w:val="24"/>
          <w:szCs w:val="24"/>
        </w:rPr>
        <w:t xml:space="preserve"> Sep/8/2</w:t>
      </w:r>
      <w:r>
        <w:rPr>
          <w:rFonts w:ascii="EB Garamond" w:eastAsia="EB Garamond" w:hAnsi="EB Garamond" w:cs="EB Garamond"/>
          <w:sz w:val="24"/>
          <w:szCs w:val="24"/>
        </w:rPr>
        <w:t xml:space="preserve">016. Retrieved in </w:t>
      </w:r>
      <w:proofErr w:type="gramStart"/>
      <w:r>
        <w:rPr>
          <w:rFonts w:ascii="EB Garamond" w:eastAsia="EB Garamond" w:hAnsi="EB Garamond" w:cs="EB Garamond"/>
          <w:sz w:val="24"/>
          <w:szCs w:val="24"/>
        </w:rPr>
        <w:t>April,</w:t>
      </w:r>
      <w:proofErr w:type="gramEnd"/>
      <w:r>
        <w:rPr>
          <w:rFonts w:ascii="EB Garamond" w:eastAsia="EB Garamond" w:hAnsi="EB Garamond" w:cs="EB Garamond"/>
          <w:sz w:val="24"/>
          <w:szCs w:val="24"/>
        </w:rPr>
        <w:t xml:space="preserve"> 2022.</w:t>
      </w:r>
    </w:p>
    <w:p w14:paraId="08443A62" w14:textId="77777777" w:rsidR="00DC59DB" w:rsidRDefault="00DC59DB">
      <w:pPr>
        <w:rPr>
          <w:rFonts w:ascii="EB Garamond" w:eastAsia="EB Garamond" w:hAnsi="EB Garamond" w:cs="EB Garamond"/>
          <w:sz w:val="24"/>
          <w:szCs w:val="24"/>
        </w:rPr>
      </w:pPr>
    </w:p>
    <w:p w14:paraId="3C807993" w14:textId="77777777" w:rsidR="00DC59DB" w:rsidRDefault="00C6355D">
      <w:pPr>
        <w:rPr>
          <w:rFonts w:ascii="EB Garamond" w:eastAsia="EB Garamond" w:hAnsi="EB Garamond" w:cs="EB Garamond"/>
          <w:sz w:val="24"/>
          <w:szCs w:val="24"/>
        </w:rPr>
      </w:pPr>
      <w:proofErr w:type="spellStart"/>
      <w:r>
        <w:rPr>
          <w:rFonts w:ascii="EB Garamond" w:eastAsia="EB Garamond" w:hAnsi="EB Garamond" w:cs="EB Garamond"/>
          <w:sz w:val="24"/>
          <w:szCs w:val="24"/>
        </w:rPr>
        <w:t>Wichter</w:t>
      </w:r>
      <w:proofErr w:type="spellEnd"/>
      <w:r>
        <w:rPr>
          <w:rFonts w:ascii="EB Garamond" w:eastAsia="EB Garamond" w:hAnsi="EB Garamond" w:cs="EB Garamond"/>
          <w:sz w:val="24"/>
          <w:szCs w:val="24"/>
        </w:rPr>
        <w:t xml:space="preserve">, Zach. “Bankrate survey finds that nonwhite borrowers are more likely to have costlier mortgages”. </w:t>
      </w:r>
      <w:hyperlink r:id="rId29">
        <w:r>
          <w:rPr>
            <w:rFonts w:ascii="EB Garamond" w:eastAsia="EB Garamond" w:hAnsi="EB Garamond" w:cs="EB Garamond"/>
            <w:color w:val="1155CC"/>
            <w:sz w:val="24"/>
            <w:szCs w:val="24"/>
            <w:u w:val="single"/>
          </w:rPr>
          <w:t>www.bankrate.com/mort</w:t>
        </w:r>
        <w:r>
          <w:rPr>
            <w:rFonts w:ascii="EB Garamond" w:eastAsia="EB Garamond" w:hAnsi="EB Garamond" w:cs="EB Garamond"/>
            <w:color w:val="1155CC"/>
            <w:sz w:val="24"/>
            <w:szCs w:val="24"/>
            <w:u w:val="single"/>
          </w:rPr>
          <w:t>gages/survey-black-and-hispanic-mortgage-rates/</w:t>
        </w:r>
      </w:hyperlink>
      <w:r>
        <w:rPr>
          <w:rFonts w:ascii="EB Garamond" w:eastAsia="EB Garamond" w:hAnsi="EB Garamond" w:cs="EB Garamond"/>
          <w:sz w:val="24"/>
          <w:szCs w:val="24"/>
        </w:rPr>
        <w:t xml:space="preserve"> Nov/20/2020. Retrieved in </w:t>
      </w:r>
      <w:proofErr w:type="gramStart"/>
      <w:r>
        <w:rPr>
          <w:rFonts w:ascii="EB Garamond" w:eastAsia="EB Garamond" w:hAnsi="EB Garamond" w:cs="EB Garamond"/>
          <w:sz w:val="24"/>
          <w:szCs w:val="24"/>
        </w:rPr>
        <w:t>April,</w:t>
      </w:r>
      <w:proofErr w:type="gramEnd"/>
      <w:r>
        <w:rPr>
          <w:rFonts w:ascii="EB Garamond" w:eastAsia="EB Garamond" w:hAnsi="EB Garamond" w:cs="EB Garamond"/>
          <w:sz w:val="24"/>
          <w:szCs w:val="24"/>
        </w:rPr>
        <w:t xml:space="preserve"> 2022.</w:t>
      </w:r>
    </w:p>
    <w:p w14:paraId="27C4CA2E" w14:textId="77777777" w:rsidR="00DC59DB" w:rsidRDefault="00DC59DB">
      <w:pPr>
        <w:widowControl w:val="0"/>
      </w:pPr>
    </w:p>
    <w:sectPr w:rsidR="00DC59DB">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lliyuna Islam" w:date="2022-05-04T03:38:00Z" w:initials="">
    <w:p w14:paraId="55C6CB5A" w14:textId="77777777" w:rsidR="00DC59DB" w:rsidRDefault="00C6355D">
      <w:pPr>
        <w:widowControl w:val="0"/>
        <w:pBdr>
          <w:top w:val="nil"/>
          <w:left w:val="nil"/>
          <w:bottom w:val="nil"/>
          <w:right w:val="nil"/>
          <w:between w:val="nil"/>
        </w:pBdr>
        <w:spacing w:line="240" w:lineRule="auto"/>
        <w:rPr>
          <w:color w:val="000000"/>
        </w:rPr>
      </w:pPr>
      <w:r>
        <w:rPr>
          <w:color w:val="000000"/>
        </w:rPr>
        <w:t>do i need the double 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C6CB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E3054" w16cex:dateUtc="2022-05-04T07: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C6CB5A" w16cid:durableId="261E305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EB Garamond">
    <w:panose1 w:val="00000500000000000000"/>
    <w:charset w:val="00"/>
    <w:family w:val="auto"/>
    <w:pitch w:val="variable"/>
    <w:sig w:usb0="E00002FF" w:usb1="02000413" w:usb2="00000000" w:usb3="00000000" w:csb0="0000019F" w:csb1="00000000"/>
  </w:font>
  <w:font w:name="Average">
    <w:charset w:val="00"/>
    <w:family w:val="auto"/>
    <w:pitch w:val="default"/>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122C3"/>
    <w:multiLevelType w:val="multilevel"/>
    <w:tmpl w:val="858AA2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E0F4027"/>
    <w:multiLevelType w:val="multilevel"/>
    <w:tmpl w:val="BE4E3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37F6FBD"/>
    <w:multiLevelType w:val="multilevel"/>
    <w:tmpl w:val="DB0C0C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D601D3B"/>
    <w:multiLevelType w:val="multilevel"/>
    <w:tmpl w:val="3E98B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56275801">
    <w:abstractNumId w:val="1"/>
  </w:num>
  <w:num w:numId="2" w16cid:durableId="1973821420">
    <w:abstractNumId w:val="2"/>
  </w:num>
  <w:num w:numId="3" w16cid:durableId="2062629649">
    <w:abstractNumId w:val="3"/>
  </w:num>
  <w:num w:numId="4" w16cid:durableId="717705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9DB"/>
    <w:rsid w:val="00C6355D"/>
    <w:rsid w:val="00DC59DB"/>
    <w:rsid w:val="00FD6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EC9240"/>
  <w15:docId w15:val="{761E2239-8CCA-864F-8089-D55837039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kinder.rice.edu/urbanedge/2020/09/24/housing-racial-disparities-race-still-determines-home-values-America"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www.federalreserve.gov/boarddocs/caletters/2009/0910/09-10_attachment.pdf"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bankrate.com/mortgages/survey-black-and-hispanic-mortgage-rates/" TargetMode="External"/><Relationship Id="rId1" Type="http://schemas.openxmlformats.org/officeDocument/2006/relationships/numbering" Target="numbering.xml"/><Relationship Id="rId6" Type="http://schemas.openxmlformats.org/officeDocument/2006/relationships/hyperlink" Target="https://www.sciencedirect.com/science/article/pii/S0094119019300889" TargetMode="External"/><Relationship Id="rId11" Type="http://schemas.openxmlformats.org/officeDocument/2006/relationships/image" Target="media/image1.png"/><Relationship Id="rId24" Type="http://schemas.openxmlformats.org/officeDocument/2006/relationships/hyperlink" Target="https://academic.oup.com/rfs/article/34/2/763/5827007?login=true" TargetMode="External"/><Relationship Id="rId5" Type="http://schemas.openxmlformats.org/officeDocument/2006/relationships/hyperlink" Target="https://www.sciencedirect.com/science/article/pii/S0094119019300889" TargetMode="Externa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fortune.com/2016/09/08/study-finds-women-are-charged-higher-rates-for-mortgages/" TargetMode="External"/><Relationship Id="rId10" Type="http://schemas.microsoft.com/office/2018/08/relationships/commentsExtensible" Target="commentsExtensible.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sciencedirect.com/science/article/pii/S0094119019300889"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2832</Words>
  <Characters>16145</Characters>
  <Application>Microsoft Office Word</Application>
  <DocSecurity>0</DocSecurity>
  <Lines>134</Lines>
  <Paragraphs>37</Paragraphs>
  <ScaleCrop>false</ScaleCrop>
  <Company/>
  <LinksUpToDate>false</LinksUpToDate>
  <CharactersWithSpaces>18940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Illiyuna Islam</cp:lastModifiedBy>
  <cp:revision>3</cp:revision>
  <dcterms:created xsi:type="dcterms:W3CDTF">2022-05-05T15:16:00Z</dcterms:created>
  <dcterms:modified xsi:type="dcterms:W3CDTF">2022-05-05T15:17:00Z</dcterms:modified>
</cp:coreProperties>
</file>