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e1a15"/>
          <w:sz w:val="40"/>
          <w:szCs w:val="40"/>
        </w:rPr>
        <w:t xml:space="preserve">Writing Studio Memory Proposals — Angela's Review</w:t>
      </w:r>
    </w:p>
    <w:p>
      <w:pPr>
        <w:spacing w:after="80"/>
      </w:pPr>
      <w:r>
        <w:rPr>
          <w:b/>
          <w:bCs/>
        </w:rPr>
        <w:t xml:space="preserve">What this is:</w:t>
      </w:r>
      <w:r>
        <w:t xml:space="preserve"> Proposed additions to Artemis's Writing Studio memory — reusable guidance that helps the AI write more like Amira's actual marketing team. Each card below is a candidate rule or reference example. Please mark Approve, Reject, or Edit on each one. Approved items become standing guidance that the AI applies when drafting any Amira content.</w:t>
      </w:r>
    </w:p>
    <w:p>
      <w:pPr>
        <w:spacing w:after="80"/>
      </w:pPr>
      <w:r>
        <w:rPr>
          <w:b/>
          <w:bCs/>
        </w:rPr>
        <w:t xml:space="preserve">How to use it:</w:t>
      </w:r>
      <w:r>
        <w:t xml:space="preserve"> Work through each section. A quick "A" or "R" in the checkbox is enough; use the Edit line only when you want to change the wording before it goes in. You do not need to approve everything — 15–20 strong rules beat 30 mediocre ones.</w:t>
      </w:r>
    </w:p>
    <w:p>
      <w:pPr>
        <w:spacing w:after="80"/>
      </w:pPr>
      <w:r>
        <w:rPr>
          <w:b/>
          <w:bCs/>
        </w:rPr>
        <w:t xml:space="preserve">Source coverage:</w:t>
      </w:r>
      <w:r>
        <w:t xml:space="preserve"> All 16 PDFs have now been read. 13 produced extractable text on the first pass. The three Photoshop-flattened image PDFs — `Reading Suite_05192026.pdf`, `Amira_Tutor_05192026.pdf` (product overview version), and `OP_Texas_01262026.pdf` — were recovered via image rendering + vision (pdftoppm → PNG → visual read) on June 9, 2026, and their proposals have been appended to each section below.</w:t>
      </w:r>
    </w:p>
    <w:p>
      <w:pPr>
        <w:pBdr>
          <w:bottom w:val="single" w:color="C8892F" w:sz="10" w:space="4"/>
        </w:pBdr>
        <w:spacing w:after="140" w:before="320"/>
      </w:pPr>
      <w:r>
        <w:rPr>
          <w:b/>
          <w:bCs/>
          <w:color w:val="1e1a15"/>
          <w:sz w:val="28"/>
          <w:szCs w:val="28"/>
        </w:rPr>
        <w:t xml:space="preserve">Section 1 — Voice &amp; Tone (7 proposals)</w:t>
      </w:r>
    </w:p>
    <w:p>
      <w:pPr>
        <w:spacing w:after="70" w:before="220"/>
      </w:pPr>
      <w:r>
        <w:rPr>
          <w:b/>
          <w:bCs/>
          <w:color w:val="8a5a16"/>
          <w:sz w:val="23"/>
          <w:szCs w:val="23"/>
        </w:rPr>
        <w:t xml:space="preserve">V-1 — The mission line is structural, not decorative</w:t>
      </w:r>
    </w:p>
    <w:p>
      <w:pPr>
        <w:spacing w:after="80"/>
      </w:pPr>
      <w:r>
        <w:rPr>
          <w:b/>
          <w:bCs/>
        </w:rPr>
        <w:t xml:space="preserve">Proposal:</w:t>
      </w:r>
      <w:r>
        <w:t xml:space="preserve"> Every Amira document — regardless of format or audience — closes with the mission tagline "Every Child Deserves the Chance to Become a Reader." Treat it as a required structural element (footer or closing line), not flair. Never paraphrase or shorten it.</w:t>
      </w:r>
    </w:p>
    <w:p>
      <w:pPr>
        <w:spacing w:after="40" w:before="40"/>
      </w:pPr>
      <w:r>
        <w:rPr>
          <w:i/>
          <w:iCs/>
          <w:color w:val="8a7f6e"/>
          <w:sz w:val="18"/>
          <w:szCs w:val="18"/>
        </w:rPr>
        <w:t xml:space="preserve">Source: </w:t>
      </w:r>
      <w:r>
        <w:rPr>
          <w:i/>
          <w:iCs/>
          <w:color w:val="8a7f6e"/>
          <w:sz w:val="18"/>
          <w:szCs w:val="18"/>
        </w:rPr>
        <w:t xml:space="preserve">Appears verbatim in footers/closing lines of every document sampled: all five</w:t>
      </w:r>
    </w:p>
    <w:p>
      <w:pPr>
        <w:spacing w:after="80"/>
      </w:pPr>
      <w:r>
        <w:t xml:space="preserve">Product Overviews, all five Enablement guides, all six Research documents.</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V-2 — Lead with the design philosophy, not the feature list</w:t>
      </w:r>
    </w:p>
    <w:p>
      <w:pPr>
        <w:spacing w:after="80"/>
      </w:pPr>
      <w:r>
        <w:rPr>
          <w:b/>
          <w:bCs/>
        </w:rPr>
        <w:t xml:space="preserve">Proposal:</w:t>
      </w:r>
      <w:r>
        <w:t xml:space="preserve"> When introducing a product, open with what Amira is built to do (the mechanism or design principle), not a list of features. Avoid "Amira does X, Y, and Z" opener structures. Instead: "Amira was created for one purpose — to couple the Science of Reading with AI, giving every child a pathway to the power of reading."</w:t>
      </w:r>
    </w:p>
    <w:p>
      <w:pPr>
        <w:spacing w:after="40" w:before="40"/>
      </w:pPr>
      <w:r>
        <w:rPr>
          <w:i/>
          <w:iCs/>
          <w:color w:val="8a7f6e"/>
          <w:sz w:val="18"/>
          <w:szCs w:val="18"/>
        </w:rPr>
        <w:t xml:space="preserve">Source: </w:t>
      </w:r>
      <w:r>
        <w:rPr>
          <w:i/>
          <w:iCs/>
          <w:color w:val="8a7f6e"/>
          <w:sz w:val="18"/>
          <w:szCs w:val="18"/>
        </w:rPr>
        <w:t xml:space="preserve">NM Summer School Efficacy, Overview section, p. 2; Middle School Impact Study,</w:t>
      </w:r>
    </w:p>
    <w:p>
      <w:pPr>
        <w:spacing w:after="80"/>
      </w:pPr>
      <w:r>
        <w:t xml:space="preserve">Overview section, p. 1. Identical language appears in both, confirming it is a standing pattern.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V-3 — Confident declarative conclusions; no hedging on the headline</w:t>
      </w:r>
    </w:p>
    <w:p>
      <w:pPr>
        <w:spacing w:after="80"/>
      </w:pPr>
      <w:r>
        <w:rPr>
          <w:b/>
          <w:bCs/>
        </w:rPr>
        <w:t xml:space="preserve">Proposal:</w:t>
      </w:r>
      <w:r>
        <w:t xml:space="preserve"> When the evidence supports a clear conclusion, state it plainly and directly before presenting the data. Reserve caveats for footnotes or a discrete "caveats" paragraph — do not pre-hedge the main claim. Example pattern: "The evidence assembled in this paper supports a clear conclusion. Amira is designed for equity, trained for equity, validated for equity, and empirically demonstrates equity."</w:t>
      </w:r>
    </w:p>
    <w:p>
      <w:pPr>
        <w:spacing w:after="40" w:before="40"/>
      </w:pPr>
      <w:r>
        <w:rPr>
          <w:i/>
          <w:iCs/>
          <w:color w:val="8a7f6e"/>
          <w:sz w:val="18"/>
          <w:szCs w:val="18"/>
        </w:rPr>
        <w:t xml:space="preserve">Source: </w:t>
      </w:r>
      <w:r>
        <w:rPr>
          <w:i/>
          <w:iCs/>
          <w:color w:val="8a7f6e"/>
          <w:sz w:val="18"/>
          <w:szCs w:val="18"/>
        </w:rPr>
        <w:t xml:space="preserve">Delivering Equity Whitepaper, Executive Summary, p. 2.</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V-4 — Parallel construction for multi-point summaries</w:t>
      </w:r>
    </w:p>
    <w:p>
      <w:pPr>
        <w:spacing w:after="80"/>
      </w:pPr>
      <w:r>
        <w:rPr>
          <w:b/>
          <w:bCs/>
        </w:rPr>
        <w:t xml:space="preserve">Proposal:</w:t>
      </w:r>
      <w:r>
        <w:t xml:space="preserve"> When listing multiple lines of evidence or product benefits, use strict grammatical parallelism and a consistent noun-phrase or verb-phrase lead for each item. Avoid mixing sentence types within the same list. Example: "Trained For Equity … Psychometrically Equitable … Comparatively Equitable … Human Validated Equitable …"</w:t>
      </w:r>
    </w:p>
    <w:p>
      <w:pPr>
        <w:spacing w:after="40" w:before="40"/>
      </w:pPr>
      <w:r>
        <w:rPr>
          <w:i/>
          <w:iCs/>
          <w:color w:val="8a7f6e"/>
          <w:sz w:val="18"/>
          <w:szCs w:val="18"/>
        </w:rPr>
        <w:t xml:space="preserve">Source: </w:t>
      </w:r>
      <w:r>
        <w:rPr>
          <w:i/>
          <w:iCs/>
          <w:color w:val="8a7f6e"/>
          <w:sz w:val="18"/>
          <w:szCs w:val="18"/>
        </w:rPr>
        <w:t xml:space="preserve">Delivering Equity Whitepaper, Five Lines of Evidence section, pp. 2–3.</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V-5 — Agentic, active verbs for product descriptions; never passive-feature language</w:t>
      </w:r>
    </w:p>
    <w:p>
      <w:pPr>
        <w:spacing w:after="80"/>
      </w:pPr>
      <w:r>
        <w:rPr>
          <w:b/>
          <w:bCs/>
        </w:rPr>
        <w:t xml:space="preserve">Proposal:</w:t>
      </w:r>
      <w:r>
        <w:t xml:space="preserve"> Describe what Amira does as an agent acting on behalf of students and teachers: "Amira listens … analyzes … adapts … delivers … identifies … guides." Avoid passive constructions ("students are assessed by …") and static feature claims ("Amira has speech recognition"). The product is always doing something purposeful, in real time, for a specific person.</w:t>
      </w:r>
    </w:p>
    <w:p>
      <w:pPr>
        <w:spacing w:after="40" w:before="40"/>
      </w:pPr>
      <w:r>
        <w:rPr>
          <w:i/>
          <w:iCs/>
          <w:color w:val="8a7f6e"/>
          <w:sz w:val="18"/>
          <w:szCs w:val="18"/>
        </w:rPr>
        <w:t xml:space="preserve">Source: </w:t>
      </w:r>
      <w:r>
        <w:rPr>
          <w:i/>
          <w:iCs/>
          <w:color w:val="8a7f6e"/>
          <w:sz w:val="18"/>
          <w:szCs w:val="18"/>
        </w:rPr>
        <w:t xml:space="preserve">Amira Assess one-pager ("Amira listens as students read aloud — capturing</w:t>
      </w:r>
    </w:p>
    <w:p>
      <w:pPr>
        <w:spacing w:after="80"/>
      </w:pPr>
      <w:r>
        <w:t xml:space="preserve">authentic evidence of learning"); RFP/Student Experience doc throughout; Funding Guide ("Amira is an AI Learning Agent … turning data into action").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V-6 — "Coherent to your core" as the coherence value-prop headline register</w:t>
      </w:r>
    </w:p>
    <w:p>
      <w:pPr>
        <w:spacing w:after="80"/>
      </w:pPr>
      <w:r>
        <w:rPr>
          <w:b/>
          <w:bCs/>
        </w:rPr>
        <w:t xml:space="preserve">Proposal:</w:t>
      </w:r>
      <w:r>
        <w:t xml:space="preserve"> When the central promise is system coherence (not individual features), headline copy should state coherence as an identity claim, not a benefit list. The approved register: "Assessment, Instruction &amp; Tutoring: COHERENT TO YOUR CORE." The word "coherent" (or "coherence") belongs in the headline or first line of the value proposition — not buried in a bullet. The follow-on sentence then names the functional payoff: "so your district can move from strategic vision to aligned action in every classroom."</w:t>
      </w:r>
    </w:p>
    <w:p>
      <w:pPr>
        <w:spacing w:after="40" w:before="40"/>
      </w:pPr>
      <w:r>
        <w:rPr>
          <w:i/>
          <w:iCs/>
          <w:color w:val="8a7f6e"/>
          <w:sz w:val="18"/>
          <w:szCs w:val="18"/>
        </w:rPr>
        <w:t xml:space="preserve">Source: </w:t>
      </w:r>
      <w:r>
        <w:rPr>
          <w:i/>
          <w:iCs/>
          <w:color w:val="8a7f6e"/>
          <w:sz w:val="18"/>
          <w:szCs w:val="18"/>
        </w:rPr>
        <w:t xml:space="preserve">Reading Suite product overview (`Reading Suite_05192026.pdf`), headline +</w:t>
      </w:r>
    </w:p>
    <w:p>
      <w:pPr>
        <w:spacing w:after="80"/>
      </w:pPr>
      <w:r>
        <w:t xml:space="preserve">subhead.</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V-7 — "Judgment-free" is the approved emotional-safety term for student-facing content</w:t>
      </w:r>
    </w:p>
    <w:p>
      <w:pPr>
        <w:spacing w:after="80"/>
      </w:pPr>
      <w:r>
        <w:rPr>
          <w:b/>
          <w:bCs/>
        </w:rPr>
        <w:t xml:space="preserve">Proposal:</w:t>
      </w:r>
      <w:r>
        <w:t xml:space="preserve"> When describing how Amira interacts with struggling readers (including ELL, dyslexia, and ADHD students), the approved phrase for the emotional environment is "judgment-free learning environment" — not "low-stakes," "safe," or "non-threatening." Example context: Amira "adapt[s] to each student's pace, level, and learning needs, including English learners and students with dyslexia or ADHD — creating a judgment-free learning environment that builds confidence, motivation, and mastery." Use this exact phrase in any content addressing student affect or confidence.</w:t>
      </w:r>
    </w:p>
    <w:p>
      <w:pPr>
        <w:spacing w:after="40" w:before="40"/>
      </w:pPr>
      <w:r>
        <w:rPr>
          <w:i/>
          <w:iCs/>
          <w:color w:val="8a7f6e"/>
          <w:sz w:val="18"/>
          <w:szCs w:val="18"/>
        </w:rPr>
        <w:t xml:space="preserve">Source: </w:t>
      </w:r>
      <w:r>
        <w:rPr>
          <w:i/>
          <w:iCs/>
          <w:color w:val="8a7f6e"/>
          <w:sz w:val="18"/>
          <w:szCs w:val="18"/>
        </w:rPr>
        <w:t xml:space="preserve">Amira Tutor product overview (`Amira_Tutor_05192026.pdf`), "Students Build</w:t>
      </w:r>
    </w:p>
    <w:p>
      <w:pPr>
        <w:spacing w:after="80"/>
      </w:pPr>
      <w:r>
        <w:t xml:space="preserve">Confidence toward Mastery" section.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pBdr>
          <w:bottom w:val="single" w:color="C8892F" w:sz="10" w:space="4"/>
        </w:pBdr>
        <w:spacing w:after="140" w:before="320"/>
      </w:pPr>
      <w:r>
        <w:rPr>
          <w:b/>
          <w:bCs/>
          <w:color w:val="1e1a15"/>
          <w:sz w:val="28"/>
          <w:szCs w:val="28"/>
        </w:rPr>
        <w:t xml:space="preserve">Section 2 — Structure Patterns (6 proposals)</w:t>
      </w:r>
    </w:p>
    <w:p>
      <w:pPr>
        <w:spacing w:after="70" w:before="220"/>
      </w:pPr>
      <w:r>
        <w:rPr>
          <w:b/>
          <w:bCs/>
          <w:color w:val="8a5a16"/>
          <w:sz w:val="23"/>
          <w:szCs w:val="23"/>
        </w:rPr>
        <w:t xml:space="preserve">S-1 — State-specific field guide skeleton</w:t>
      </w:r>
    </w:p>
    <w:p>
      <w:pPr>
        <w:spacing w:after="80"/>
      </w:pPr>
      <w:r>
        <w:rPr>
          <w:b/>
          <w:bCs/>
        </w:rPr>
        <w:t xml:space="preserve">Proposal:</w:t>
      </w:r>
      <w:r>
        <w:t xml:space="preserve"> State compliance field guides follow this five-part skeleton: (1) "About This Guide" — one short paragraph naming the law, the audience, what the guide covers, and a mandatory disclosure that Amira publishes it; (2) What the Law Requires — plain-language summary with compliance timeline; (3) How to Evaluate Any Screener — vendor-neutral questions applied equally to all tools; (4) Funding Options — with a standard disclaimer that allowability is district-specific and must be confirmed with legal counsel; (5) Action Checklist — checkbox items sized for a single team meeting.</w:t>
      </w:r>
    </w:p>
    <w:p>
      <w:pPr>
        <w:spacing w:after="40" w:before="40"/>
      </w:pPr>
      <w:r>
        <w:rPr>
          <w:i/>
          <w:iCs/>
          <w:color w:val="8a7f6e"/>
          <w:sz w:val="18"/>
          <w:szCs w:val="18"/>
        </w:rPr>
        <w:t xml:space="preserve">Source: </w:t>
      </w:r>
      <w:r>
        <w:rPr>
          <w:i/>
          <w:iCs/>
          <w:color w:val="8a7f6e"/>
          <w:sz w:val="18"/>
          <w:szCs w:val="18"/>
        </w:rPr>
        <w:t xml:space="preserve">Illinois Field Guide, Maryland Field Guide, Michigan Field Guide — all three follow this</w:t>
      </w:r>
    </w:p>
    <w:p>
      <w:pPr>
        <w:spacing w:after="80"/>
      </w:pPr>
      <w:r>
        <w:t xml:space="preserve">skeleton.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S-2 — Efficacy study skeleton</w:t>
      </w:r>
    </w:p>
    <w:p>
      <w:pPr>
        <w:spacing w:after="80"/>
      </w:pPr>
      <w:r>
        <w:rPr>
          <w:b/>
          <w:bCs/>
        </w:rPr>
        <w:t xml:space="preserve">Proposal:</w:t>
      </w:r>
      <w:r>
        <w:t xml:space="preserve"> Efficacy/research documents follow: (1) Key Findings callout box — three to four bullets, each a standalone stat + so-what; (2) Overview — origin of Amira + the specific research question; (3) Methodology — sample, measures, analytical strategy; (4) Results — descriptive first, then inferential; (5) Conclusions — three to five named key achievements using short bold headers; (6) "Learn how Amira can drive reading growth" CTA. Never open with methodology; always lead with the finding.</w:t>
      </w:r>
    </w:p>
    <w:p>
      <w:pPr>
        <w:spacing w:after="40" w:before="40"/>
      </w:pPr>
      <w:r>
        <w:rPr>
          <w:i/>
          <w:iCs/>
          <w:color w:val="8a7f6e"/>
          <w:sz w:val="18"/>
          <w:szCs w:val="18"/>
        </w:rPr>
        <w:t xml:space="preserve">Source: </w:t>
      </w:r>
      <w:r>
        <w:rPr>
          <w:i/>
          <w:iCs/>
          <w:color w:val="8a7f6e"/>
          <w:sz w:val="18"/>
          <w:szCs w:val="18"/>
        </w:rPr>
        <w:t xml:space="preserve">NM Summer School Efficacy; Middle School Impact Study — both follow this</w:t>
      </w:r>
    </w:p>
    <w:p>
      <w:pPr>
        <w:spacing w:after="80"/>
      </w:pPr>
      <w:r>
        <w:t xml:space="preserve">structure.</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S-3 — Funding/alignment guide: align → allow → assign</w:t>
      </w:r>
    </w:p>
    <w:p>
      <w:pPr>
        <w:spacing w:after="80"/>
      </w:pPr>
      <w:r>
        <w:rPr>
          <w:b/>
          <w:bCs/>
        </w:rPr>
        <w:t xml:space="preserve">Proposal:</w:t>
      </w:r>
      <w:r>
        <w:t xml:space="preserve"> Funding guides organize each federal program in three steps: (1) purpose of the program in one sentence; (2) "How Amira Aligns" — bullet list of what Amira does that maps to that purpose; (3) "Allowable Uses with Amira" — specific, concrete activities. Always close with a funding disclaimer: allowable uses are district-specific and subject to audit; confirm with legal counsel and finance team.</w:t>
      </w:r>
    </w:p>
    <w:p>
      <w:pPr>
        <w:spacing w:after="40" w:before="40"/>
      </w:pPr>
      <w:r>
        <w:rPr>
          <w:i/>
          <w:iCs/>
          <w:color w:val="8a7f6e"/>
          <w:sz w:val="18"/>
          <w:szCs w:val="18"/>
        </w:rPr>
        <w:t xml:space="preserve">Source: </w:t>
      </w:r>
      <w:r>
        <w:rPr>
          <w:i/>
          <w:iCs/>
          <w:color w:val="8a7f6e"/>
          <w:sz w:val="18"/>
          <w:szCs w:val="18"/>
        </w:rPr>
        <w:t xml:space="preserve">Funding Guide (FG_05192026) for Title I, II, III, IV, IDEA sections.</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S-4 — Whitepaper: hypothesis-test-refutation structure</w:t>
      </w:r>
    </w:p>
    <w:p>
      <w:pPr>
        <w:spacing w:after="80"/>
      </w:pPr>
      <w:r>
        <w:rPr>
          <w:b/>
          <w:bCs/>
        </w:rPr>
        <w:t xml:space="preserve">Proposal:</w:t>
      </w:r>
      <w:r>
        <w:t xml:space="preserve"> When rebutting a misconception or objection, use an explicit hypothesis-then-data structure: state the specific prediction that would be true IF the concern were valid, then show the data that tests it. Example: "If Amira were unable to listen accurately to ELLs, then Amira would be giving those ELLs LOW scores … The data shows, in fact, that this year in New Mexico, Amira is flagging 26% FEWER ELLs …" This pattern builds credibility and disarms objections more cleanly than a defensive rebuttal.</w:t>
      </w:r>
    </w:p>
    <w:p>
      <w:pPr>
        <w:spacing w:after="40" w:before="40"/>
      </w:pPr>
      <w:r>
        <w:rPr>
          <w:i/>
          <w:iCs/>
          <w:color w:val="8a7f6e"/>
          <w:sz w:val="18"/>
          <w:szCs w:val="18"/>
        </w:rPr>
        <w:t xml:space="preserve">Source: </w:t>
      </w:r>
      <w:r>
        <w:rPr>
          <w:i/>
          <w:iCs/>
          <w:color w:val="8a7f6e"/>
          <w:sz w:val="18"/>
          <w:szCs w:val="18"/>
        </w:rPr>
        <w:t xml:space="preserve">Delivering Equity Whitepaper, "The Evidence in Plain Terms" section, pp. 3–4.</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S-5 — One-pager skeleton: hook stat → approach table → takeaways → CTA</w:t>
      </w:r>
    </w:p>
    <w:p>
      <w:pPr>
        <w:spacing w:after="80"/>
      </w:pPr>
      <w:r>
        <w:rPr>
          <w:b/>
          <w:bCs/>
        </w:rPr>
        <w:t xml:space="preserve">Proposal:</w:t>
      </w:r>
      <w:r>
        <w:t xml:space="preserve"> Evidence one-pagers (research briefs for sales use) open with the headline finding as a visual stat or pull quote, then a compact three-row table (Sample &amp; Setting / Measures / Methodology), then three "Key Takeaways" bullets written for a district leader who has ten seconds, then a QR code + URL CTA.</w:t>
      </w:r>
    </w:p>
    <w:p>
      <w:pPr>
        <w:spacing w:after="40" w:before="40"/>
      </w:pPr>
      <w:r>
        <w:rPr>
          <w:i/>
          <w:iCs/>
          <w:color w:val="8a7f6e"/>
          <w:sz w:val="18"/>
          <w:szCs w:val="18"/>
        </w:rPr>
        <w:t xml:space="preserve">Source: </w:t>
      </w:r>
      <w:r>
        <w:rPr>
          <w:i/>
          <w:iCs/>
          <w:color w:val="8a7f6e"/>
          <w:sz w:val="18"/>
          <w:szCs w:val="18"/>
        </w:rPr>
        <w:t xml:space="preserve">Louisiana one-pager (Louisiana_RB_05192026); OP_Texas structure (same pattern).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S-6 — State-specific sales one-pager skeleton: bold headline claim → subpopulation proof → approvals/mandate alignment → CTA</w:t>
      </w:r>
    </w:p>
    <w:p>
      <w:pPr>
        <w:spacing w:after="80"/>
      </w:pPr>
      <w:r>
        <w:rPr>
          <w:b/>
          <w:bCs/>
        </w:rPr>
        <w:t xml:space="preserve">Proposal:</w:t>
      </w:r>
      <w:r>
        <w:t xml:space="preserve"> State-targeted one-pagers (for use in sales or field conversations in a specific state) follow this four-part pattern: (1) an alliterative three-part headline claim using the state's name and a high-salience outcome metric ("AI-Powered. Texas-Tested. Proven Results."); (2) a "STAAR Results / [State Test] Results" section showing per-grade percentile-rank gains at three dosage tiers (0–9 min / 10–19 min / 30+ min) as a bar chart; (3) a "Learning Acceleration Across Every Subpopulation" section listing scale-score advantages for named subgroups (Black, Hispanic, At-Risk, Economically Disadvantaged, Special Education, Emergent Bilingual); (4) an approvals/mandate-alignment section listing specific state funding or program codes (TEA approval numbers, HB references, TIA designations, TELPAS connections) with a URL CTA. Always name the test by its state-specific acronym in the headline.</w:t>
      </w:r>
    </w:p>
    <w:p>
      <w:pPr>
        <w:spacing w:after="40" w:before="40"/>
      </w:pPr>
      <w:r>
        <w:rPr>
          <w:i/>
          <w:iCs/>
          <w:color w:val="8a7f6e"/>
          <w:sz w:val="18"/>
          <w:szCs w:val="18"/>
        </w:rPr>
        <w:t xml:space="preserve">Source: </w:t>
      </w:r>
      <w:r>
        <w:rPr>
          <w:i/>
          <w:iCs/>
          <w:color w:val="8a7f6e"/>
          <w:sz w:val="18"/>
          <w:szCs w:val="18"/>
        </w:rPr>
        <w:t xml:space="preserve">OP_Texas one-pager (`OP_Texas_01262026.pdf`), all four sections.</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pBdr>
          <w:bottom w:val="single" w:color="C8892F" w:sz="10" w:space="4"/>
        </w:pBdr>
        <w:spacing w:after="140" w:before="320"/>
      </w:pPr>
      <w:r>
        <w:rPr>
          <w:b/>
          <w:bCs/>
          <w:color w:val="1e1a15"/>
          <w:sz w:val="28"/>
          <w:szCs w:val="28"/>
        </w:rPr>
        <w:t xml:space="preserve">Section 3 — Audience Framing (6 proposals)</w:t>
      </w:r>
    </w:p>
    <w:p>
      <w:pPr>
        <w:spacing w:after="70" w:before="220"/>
      </w:pPr>
      <w:r>
        <w:rPr>
          <w:b/>
          <w:bCs/>
          <w:color w:val="8a5a16"/>
          <w:sz w:val="23"/>
          <w:szCs w:val="23"/>
        </w:rPr>
        <w:t xml:space="preserve">A-1 — District leaders: lead with coherence and burden reduction, not accuracy stats</w:t>
      </w:r>
    </w:p>
    <w:p>
      <w:pPr>
        <w:spacing w:after="80"/>
      </w:pPr>
      <w:r>
        <w:rPr>
          <w:b/>
          <w:bCs/>
        </w:rPr>
        <w:t xml:space="preserve">Proposal:</w:t>
      </w:r>
      <w:r>
        <w:t xml:space="preserve"> When writing for district curriculum/assessment leaders, open with the problem of fragmented systems and educator burden before introducing Amira. The promise is coherence and reduced decision overhead, not raw accuracy numbers. Example: "Too often, those funds are applied to disconnected programs that fragment instruction, increase educator burden, and dilute impact."</w:t>
      </w:r>
    </w:p>
    <w:p>
      <w:pPr>
        <w:spacing w:after="40" w:before="40"/>
      </w:pPr>
      <w:r>
        <w:rPr>
          <w:i/>
          <w:iCs/>
          <w:color w:val="8a7f6e"/>
          <w:sz w:val="18"/>
          <w:szCs w:val="18"/>
        </w:rPr>
        <w:t xml:space="preserve">Source: </w:t>
      </w:r>
      <w:r>
        <w:rPr>
          <w:i/>
          <w:iCs/>
          <w:color w:val="8a7f6e"/>
          <w:sz w:val="18"/>
          <w:szCs w:val="18"/>
        </w:rPr>
        <w:t xml:space="preserve">Funding Guide, opening paragraph; Instruct one-pager ("so teachers spend less</w:t>
      </w:r>
    </w:p>
    <w:p>
      <w:pPr>
        <w:spacing w:after="80"/>
      </w:pPr>
      <w:r>
        <w:t xml:space="preserve">time diagnosing and more time teaching").</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A-2 — State policy/compliance audiences: radical transparency about Amira's own stake</w:t>
      </w:r>
    </w:p>
    <w:p>
      <w:pPr>
        <w:spacing w:after="80"/>
      </w:pPr>
      <w:r>
        <w:rPr>
          <w:b/>
          <w:bCs/>
        </w:rPr>
        <w:t xml:space="preserve">Proposal:</w:t>
      </w:r>
      <w:r>
        <w:t xml:space="preserve"> In any document targeting a compliance or evaluation audience (state agency, district procurement), include an explicit disclosure that Amira publishes the guide and has a product relevant to the decision. Use this exact framing pattern: "A note on this guide: Amira Learning publishes this guide, and Amira ISIP Assess is [one of three / one tool relevant to] [state] requirements. We have made every effort to represent all tools accurately and fairly. The authoritative source for [requirement] is [official source]."</w:t>
      </w:r>
    </w:p>
    <w:p>
      <w:pPr>
        <w:spacing w:after="40" w:before="40"/>
      </w:pPr>
      <w:r>
        <w:rPr>
          <w:i/>
          <w:iCs/>
          <w:color w:val="8a7f6e"/>
          <w:sz w:val="18"/>
          <w:szCs w:val="18"/>
        </w:rPr>
        <w:t xml:space="preserve">Source: </w:t>
      </w:r>
      <w:r>
        <w:rPr>
          <w:i/>
          <w:iCs/>
          <w:color w:val="8a7f6e"/>
          <w:sz w:val="18"/>
          <w:szCs w:val="18"/>
        </w:rPr>
        <w:t xml:space="preserve">Michigan Field Guide, Illinois Field Guide, Maryland Field Guide — identical disclosure</w:t>
      </w:r>
    </w:p>
    <w:p>
      <w:pPr>
        <w:spacing w:after="80"/>
      </w:pPr>
      <w:r>
        <w:t xml:space="preserve">block at the top of each.</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A-3 — English learner / equity audiences: lead with design intent, then empirical proof</w:t>
      </w:r>
    </w:p>
    <w:p>
      <w:pPr>
        <w:spacing w:after="80"/>
      </w:pPr>
      <w:r>
        <w:rPr>
          <w:b/>
          <w:bCs/>
        </w:rPr>
        <w:t xml:space="preserve">Proposal:</w:t>
      </w:r>
      <w:r>
        <w:t xml:space="preserve"> When writing for audiences concerned about equity for ELL or students of color, structure the argument as design-intent first, then empirical validation. Never open with statistics alone. Open with what Amira was built to do differently (e.g., "Amira does not 'recognize speech' or attempt to turn speech into text. This avoids the central challenge of accent and dialect."), then present data as confirmation of that design intent.</w:t>
      </w:r>
    </w:p>
    <w:p>
      <w:pPr>
        <w:spacing w:after="40" w:before="40"/>
      </w:pPr>
      <w:r>
        <w:rPr>
          <w:i/>
          <w:iCs/>
          <w:color w:val="8a7f6e"/>
          <w:sz w:val="18"/>
          <w:szCs w:val="18"/>
        </w:rPr>
        <w:t xml:space="preserve">Source: </w:t>
      </w:r>
      <w:r>
        <w:rPr>
          <w:i/>
          <w:iCs/>
          <w:color w:val="8a7f6e"/>
          <w:sz w:val="18"/>
          <w:szCs w:val="18"/>
        </w:rPr>
        <w:t xml:space="preserve">Delivering Equity Whitepaper, "Amira Is Designed for Equity" section, p. 4.</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A-4 — Teachers / field audiences: step-by-step, numbered, student's-eye-view</w:t>
      </w:r>
    </w:p>
    <w:p>
      <w:pPr>
        <w:spacing w:after="80"/>
      </w:pPr>
      <w:r>
        <w:rPr>
          <w:b/>
          <w:bCs/>
        </w:rPr>
        <w:t xml:space="preserve">Proposal:</w:t>
      </w:r>
      <w:r>
        <w:t xml:space="preserve"> When writing for teachers or field users (coaches, implementation leads), present flows as numbered steps from the student's perspective, with each step's teacher implication called out in a sub-bullet. Use present tense. Avoid abstract system descriptions. Example: "STEP 3: Amira displays a 'Ready to Start?' prompt. The student clicks the green 'Let's do it!' button. • This screen sets a positive, encouraging tone for the reading session."</w:t>
      </w:r>
    </w:p>
    <w:p>
      <w:pPr>
        <w:spacing w:after="40" w:before="40"/>
      </w:pPr>
      <w:r>
        <w:rPr>
          <w:i/>
          <w:iCs/>
          <w:color w:val="8a7f6e"/>
          <w:sz w:val="18"/>
          <w:szCs w:val="18"/>
        </w:rPr>
        <w:t xml:space="preserve">Source: </w:t>
      </w:r>
      <w:r>
        <w:rPr>
          <w:i/>
          <w:iCs/>
          <w:color w:val="8a7f6e"/>
          <w:sz w:val="18"/>
          <w:szCs w:val="18"/>
        </w:rPr>
        <w:t xml:space="preserve">Amira Tutor Student Experience RFP response, Sections 1–2, throughout.</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A-5 — District leaders choosing Amira Tutor: the four-reason framework</w:t>
      </w:r>
    </w:p>
    <w:p>
      <w:pPr>
        <w:spacing w:after="80"/>
      </w:pPr>
      <w:r>
        <w:rPr>
          <w:b/>
          <w:bCs/>
        </w:rPr>
        <w:t xml:space="preserve">Proposal:</w:t>
      </w:r>
      <w:r>
        <w:t xml:space="preserve"> When writing for district administrators evaluating the Tutor product specifically, organize the value proposition into exactly four named reasons, in this order: (1) in-the-moment, Science of Reading–aligned coaching that scales; (2) students build confidence toward mastery (including ELL, dyslexia, ADHD); (3) teachers have more insight and more time (Amira surfaces skill gaps so teachers focus on what matters most, without adding instructional burden); (4) built for MTSS and district strategy (Tier 1/2/3 framing, district-wide execution). This ordering moves from the student experience → teacher benefit → district/systems payoff, and tracks how a district leader thinks about adoption risk.</w:t>
      </w:r>
    </w:p>
    <w:p>
      <w:pPr>
        <w:spacing w:after="40" w:before="40"/>
      </w:pPr>
      <w:r>
        <w:rPr>
          <w:i/>
          <w:iCs/>
          <w:color w:val="8a7f6e"/>
          <w:sz w:val="18"/>
          <w:szCs w:val="18"/>
        </w:rPr>
        <w:t xml:space="preserve">Source: </w:t>
      </w:r>
      <w:r>
        <w:rPr>
          <w:i/>
          <w:iCs/>
          <w:color w:val="8a7f6e"/>
          <w:sz w:val="18"/>
          <w:szCs w:val="18"/>
        </w:rPr>
        <w:t xml:space="preserve">Amira Tutor product overview (`Amira_Tutor_05192026.pdf`), "Why District Leaders</w:t>
      </w:r>
    </w:p>
    <w:p>
      <w:pPr>
        <w:spacing w:after="80"/>
      </w:pPr>
      <w:r>
        <w:t xml:space="preserve">Choose Amira Tutor" section.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A-6 — State-policy/legislative audiences: lead with the mandate, then the solution</w:t>
      </w:r>
    </w:p>
    <w:p>
      <w:pPr>
        <w:spacing w:after="80"/>
      </w:pPr>
      <w:r>
        <w:rPr>
          <w:b/>
          <w:bCs/>
        </w:rPr>
        <w:t xml:space="preserve">Proposal:</w:t>
      </w:r>
      <w:r>
        <w:t xml:space="preserve"> When writing for a state-specific compliance or policy audience, name the specific legislative mandate or accountability test in the very first sentence before introducing Amira. The approved pattern: "[State] requires / [State test] demands [outcome X]. Amira is the only TEA-approved [/ state-approved] program that [addresses X] while [secondary benefit]." Approved examples: "Amira is the only TEA-approved program that raises district proficiency rates by more than 20% while simplifying compliance for school leaders." Never open with Amira's feature set; open with the state's law or test requirement.</w:t>
      </w:r>
    </w:p>
    <w:p>
      <w:pPr>
        <w:spacing w:after="40" w:before="40"/>
      </w:pPr>
      <w:r>
        <w:rPr>
          <w:i/>
          <w:iCs/>
          <w:color w:val="8a7f6e"/>
          <w:sz w:val="18"/>
          <w:szCs w:val="18"/>
        </w:rPr>
        <w:t xml:space="preserve">Source: </w:t>
      </w:r>
      <w:r>
        <w:rPr>
          <w:i/>
          <w:iCs/>
          <w:color w:val="8a7f6e"/>
          <w:sz w:val="18"/>
          <w:szCs w:val="18"/>
        </w:rPr>
        <w:t xml:space="preserve">OP_Texas one-pager (`OP_Texas_01262026.pdf`), "Texas-Sized Growth &amp; Mandate</w:t>
      </w:r>
    </w:p>
    <w:p>
      <w:pPr>
        <w:spacing w:after="80"/>
      </w:pPr>
      <w:r>
        <w:t xml:space="preserve">Support" section and "The Texas Approved Advantage" section.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pBdr>
          <w:bottom w:val="single" w:color="C8892F" w:sz="10" w:space="4"/>
        </w:pBdr>
        <w:spacing w:after="140" w:before="320"/>
      </w:pPr>
      <w:r>
        <w:rPr>
          <w:b/>
          <w:bCs/>
          <w:color w:val="1e1a15"/>
          <w:sz w:val="28"/>
          <w:szCs w:val="28"/>
        </w:rPr>
        <w:t xml:space="preserve">Section 4 — Approved Terminology in Context (7 proposals)</w:t>
      </w:r>
    </w:p>
    <w:p>
      <w:pPr>
        <w:spacing w:after="70" w:before="220"/>
      </w:pPr>
      <w:r>
        <w:rPr>
          <w:b/>
          <w:bCs/>
          <w:color w:val="8a5a16"/>
          <w:sz w:val="23"/>
          <w:szCs w:val="23"/>
        </w:rPr>
        <w:t xml:space="preserve">T-1 — "Learning Agent" is the master product identity term</w:t>
      </w:r>
    </w:p>
    <w:p>
      <w:pPr>
        <w:spacing w:after="80"/>
      </w:pPr>
      <w:r>
        <w:rPr>
          <w:b/>
          <w:bCs/>
        </w:rPr>
        <w:t xml:space="preserve">Proposal:</w:t>
      </w:r>
      <w:r>
        <w:t xml:space="preserve"> Amira's primary identity label is "AI Learning Agent" (or "learning agent"), not "AI tutor," "platform," "tool," or "software." Use it as both the noun and the modifier. The full formulation: "Amira is an AI Learning Agent grounded in the Science of Reading — designed to continuously assess, instruct, and tutor students through a connected learning loop." Use "learning agent" when one word is needed; "AI learning agent" when the full term fits.</w:t>
      </w:r>
    </w:p>
    <w:p>
      <w:pPr>
        <w:spacing w:after="40" w:before="40"/>
      </w:pPr>
      <w:r>
        <w:rPr>
          <w:i/>
          <w:iCs/>
          <w:color w:val="8a7f6e"/>
          <w:sz w:val="18"/>
          <w:szCs w:val="18"/>
        </w:rPr>
        <w:t xml:space="preserve">Source: </w:t>
      </w:r>
      <w:r>
        <w:rPr>
          <w:i/>
          <w:iCs/>
          <w:color w:val="8a7f6e"/>
          <w:sz w:val="18"/>
          <w:szCs w:val="18"/>
        </w:rPr>
        <w:t xml:space="preserve">EGS one-pager headline; Funding Guide opening; Instruct one-pager. "Learning</w:t>
      </w:r>
    </w:p>
    <w:p>
      <w:pPr>
        <w:spacing w:after="80"/>
      </w:pPr>
      <w:r>
        <w:t xml:space="preserve">agent" appears in all three folders.</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T-2 — "Assess → Instruct → Tutor" is an ordered loop, not a menu</w:t>
      </w:r>
    </w:p>
    <w:p>
      <w:pPr>
        <w:spacing w:after="80"/>
      </w:pPr>
      <w:r>
        <w:rPr>
          <w:b/>
          <w:bCs/>
        </w:rPr>
        <w:t xml:space="preserve">Proposal:</w:t>
      </w:r>
      <w:r>
        <w:t xml:space="preserve"> When writing about Amira's three-component system, always present the components in this order — Assess, Instruct, Tutor — and frame them as a loop, not a list of options. The canonical phrase: "Make your literacy work more coherent — by connecting Assess → Instruct → Tutor into one evidence-based loop to drive student growth." The arrow notation is intentional and should be preserved.</w:t>
      </w:r>
    </w:p>
    <w:p>
      <w:pPr>
        <w:spacing w:after="40" w:before="40"/>
      </w:pPr>
      <w:r>
        <w:rPr>
          <w:i/>
          <w:iCs/>
          <w:color w:val="8a7f6e"/>
          <w:sz w:val="18"/>
          <w:szCs w:val="18"/>
        </w:rPr>
        <w:t xml:space="preserve">Source: </w:t>
      </w:r>
      <w:r>
        <w:rPr>
          <w:i/>
          <w:iCs/>
          <w:color w:val="8a7f6e"/>
          <w:sz w:val="18"/>
          <w:szCs w:val="18"/>
        </w:rPr>
        <w:t xml:space="preserve">Instruct one-pager, CTA line; Funding Guide component table; FG_05192026.</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T-3 — "Science of Reading" is always capitalized and appears early</w:t>
      </w:r>
    </w:p>
    <w:p>
      <w:pPr>
        <w:spacing w:after="80"/>
      </w:pPr>
      <w:r>
        <w:rPr>
          <w:b/>
          <w:bCs/>
        </w:rPr>
        <w:t xml:space="preserve">Proposal:</w:t>
      </w:r>
      <w:r>
        <w:t xml:space="preserve"> "Science of Reading" is always capitalized (not "science of reading" or "science-of- reading"). It appears in the first or second paragraph of virtually every document. It is not introduced with a definition — it is used as a known standard the audience shares. Do not explain it; invoke it.</w:t>
      </w:r>
    </w:p>
    <w:p>
      <w:pPr>
        <w:spacing w:after="40" w:before="40"/>
      </w:pPr>
      <w:r>
        <w:rPr>
          <w:i/>
          <w:iCs/>
          <w:color w:val="8a7f6e"/>
          <w:sz w:val="18"/>
          <w:szCs w:val="18"/>
        </w:rPr>
        <w:t xml:space="preserve">Source: </w:t>
      </w:r>
      <w:r>
        <w:rPr>
          <w:i/>
          <w:iCs/>
          <w:color w:val="8a7f6e"/>
          <w:sz w:val="18"/>
          <w:szCs w:val="18"/>
        </w:rPr>
        <w:t xml:space="preserve">Throughout all three folders. Example: "The tutoring experience is grounded in the</w:t>
      </w:r>
    </w:p>
    <w:p>
      <w:pPr>
        <w:spacing w:after="80"/>
      </w:pPr>
      <w:r>
        <w:t xml:space="preserve">Science of Reading and aligned with Scarborough's Reading Rope framework." (RFP doc, p. 2)</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T-4 — "Dynamic Assessment" = the mechanism behind Assess, not a synonym for</w:t>
      </w:r>
    </w:p>
    <w:p>
      <w:pPr>
        <w:spacing w:after="80"/>
      </w:pPr>
      <w:r>
        <w:t xml:space="preserve">"adaptive"</w:t>
      </w:r>
    </w:p>
    <w:p>
      <w:pPr>
        <w:spacing w:after="80"/>
      </w:pPr>
      <w:r>
        <w:rPr>
          <w:b/>
          <w:bCs/>
        </w:rPr>
        <w:t xml:space="preserve">Proposal:</w:t>
      </w:r>
      <w:r>
        <w:t xml:space="preserve"> Use "dynamic assessment" (lowercase or as a branded label "Dynamic Assessment") specifically to describe the mechanism by which Amira continuously collects evidence while students read aloud — as distinct from periodic benchmark testing. Canonical context: "Stop Testing Reading. Start Observing It. Amira ISIP Assess is a dynamic reading assessment that listens as students read aloud — capturing authentic evidence of learning." Do not use "adaptive" as a synonym; adaptive describes instruction that changes based on results. Dynamic describes the always-on, listening-while-reading assessment mechanism.</w:t>
      </w:r>
    </w:p>
    <w:p>
      <w:pPr>
        <w:spacing w:after="40" w:before="40"/>
      </w:pPr>
      <w:r>
        <w:rPr>
          <w:i/>
          <w:iCs/>
          <w:color w:val="8a7f6e"/>
          <w:sz w:val="18"/>
          <w:szCs w:val="18"/>
        </w:rPr>
        <w:t xml:space="preserve">Source: </w:t>
      </w:r>
      <w:r>
        <w:rPr>
          <w:i/>
          <w:iCs/>
          <w:color w:val="8a7f6e"/>
          <w:sz w:val="18"/>
          <w:szCs w:val="18"/>
        </w:rPr>
        <w:t xml:space="preserve">Amira Assess one-pager, headline and first paragraph.</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T-5 — "Tailored tutoring" (not "personalized" or "individualized") for 1:1 instruction</w:t>
      </w:r>
    </w:p>
    <w:p>
      <w:pPr>
        <w:spacing w:after="80"/>
      </w:pPr>
      <w:r>
        <w:rPr>
          <w:b/>
          <w:bCs/>
        </w:rPr>
        <w:t xml:space="preserve">Proposal:</w:t>
      </w:r>
      <w:r>
        <w:t xml:space="preserve"> The preferred modifier for Amira's tutoring is "tailored" — as in "Tailored 1:1 tutoring" or "tailored tutoring practice." "Personalized" and "individualized" are used occasionally but "tailored" is the more distinctive and repeated term, especially in the Lectura and Instruct materials. Reserve "individualized" for IEP/IDEA contexts where it carries legal meaning.</w:t>
      </w:r>
    </w:p>
    <w:p>
      <w:pPr>
        <w:spacing w:after="40" w:before="40"/>
      </w:pPr>
      <w:r>
        <w:rPr>
          <w:i/>
          <w:iCs/>
          <w:color w:val="8a7f6e"/>
          <w:sz w:val="18"/>
          <w:szCs w:val="18"/>
        </w:rPr>
        <w:t xml:space="preserve">Source: </w:t>
      </w:r>
      <w:r>
        <w:rPr>
          <w:i/>
          <w:iCs/>
          <w:color w:val="8a7f6e"/>
          <w:sz w:val="18"/>
          <w:szCs w:val="18"/>
        </w:rPr>
        <w:t xml:space="preserve">Amira Lectura one-pager ("Tailored 1:1 tutoring aligned to your core"); Instruct</w:t>
      </w:r>
    </w:p>
    <w:p>
      <w:pPr>
        <w:spacing w:after="80"/>
      </w:pPr>
      <w:r>
        <w:t xml:space="preserve">one-pager ("Reinforcement through tailored tutoring"); Funding Guide component table.</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T-6 — "Coherence Map" is the named mechanism behind the Reading Suite loop</w:t>
      </w:r>
    </w:p>
    <w:p>
      <w:pPr>
        <w:spacing w:after="80"/>
      </w:pPr>
      <w:r>
        <w:rPr>
          <w:b/>
          <w:bCs/>
        </w:rPr>
        <w:t xml:space="preserve">Proposal:</w:t>
      </w:r>
      <w:r>
        <w:t xml:space="preserve"> When writing about how the three Amira components (Assess, Instruct, Tutor) connect to each other, name the connecting mechanism "Coherence Map" (capitalized, treated as a branded product feature). Do not describe it generically as a "dashboard" or "reporting tool." The canonical usage: "Amira Reading Suite uses a Coherence Map, based on your core, to pinpoint where each student is, identify what's most likely to unlock progress, and drive tailored instruction." The Coherence Map is what makes the loop coherent — name it when explaining the suite's integrated value.</w:t>
      </w:r>
    </w:p>
    <w:p>
      <w:pPr>
        <w:spacing w:after="40" w:before="40"/>
      </w:pPr>
      <w:r>
        <w:rPr>
          <w:i/>
          <w:iCs/>
          <w:color w:val="8a7f6e"/>
          <w:sz w:val="18"/>
          <w:szCs w:val="18"/>
        </w:rPr>
        <w:t xml:space="preserve">Source: </w:t>
      </w:r>
      <w:r>
        <w:rPr>
          <w:i/>
          <w:iCs/>
          <w:color w:val="8a7f6e"/>
          <w:sz w:val="18"/>
          <w:szCs w:val="18"/>
        </w:rPr>
        <w:t xml:space="preserve">Reading Suite product overview (`Reading Suite_05192026.pdf`), "THE AMIRA</w:t>
      </w:r>
    </w:p>
    <w:p>
      <w:pPr>
        <w:spacing w:after="80"/>
      </w:pPr>
      <w:r>
        <w:t xml:space="preserve">READING SUITE: One Coherent Learning Loop" section.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T-7 — "At Dosage" is the standard qualifier for outcome claims tied to usage thresholds</w:t>
      </w:r>
    </w:p>
    <w:p>
      <w:pPr>
        <w:spacing w:after="80"/>
      </w:pPr>
      <w:r>
        <w:rPr>
          <w:b/>
          <w:bCs/>
        </w:rPr>
        <w:t xml:space="preserve">Proposal:</w:t>
      </w:r>
      <w:r>
        <w:t xml:space="preserve"> When citing outcome data that requires a usage threshold to hold, use the parenthetical label "At Dosage" (capitalized) immediately after the stat or as a section label, followed by the specific threshold in the next sentence. Approved example: "those using Amira's AI Tutor outperformed the state average, delivering significant gains in proficiency and scale scores … At Dosage (approx. 30 mins/week), students using Amira were 82% more likely to meet grade-level standards." "At Dosage" is the canonical shorthand for the threshold condition — do not substitute "at recommended usage," "at target minutes," or other paraphrases.</w:t>
      </w:r>
    </w:p>
    <w:p>
      <w:pPr>
        <w:spacing w:after="40" w:before="40"/>
      </w:pPr>
      <w:r>
        <w:rPr>
          <w:i/>
          <w:iCs/>
          <w:color w:val="8a7f6e"/>
          <w:sz w:val="18"/>
          <w:szCs w:val="18"/>
        </w:rPr>
        <w:t xml:space="preserve">Source: </w:t>
      </w:r>
      <w:r>
        <w:rPr>
          <w:i/>
          <w:iCs/>
          <w:color w:val="8a7f6e"/>
          <w:sz w:val="18"/>
          <w:szCs w:val="18"/>
        </w:rPr>
        <w:t xml:space="preserve">OP_Texas one-pager (`OP_Texas_01262026.pdf`), "AI-Powered. Texas-Tested.</w:t>
      </w:r>
    </w:p>
    <w:p>
      <w:pPr>
        <w:spacing w:after="80"/>
      </w:pPr>
      <w:r>
        <w:t xml:space="preserve">Proven Results." section, parenthetical.</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pBdr>
          <w:bottom w:val="single" w:color="C8892F" w:sz="10" w:space="4"/>
        </w:pBdr>
        <w:spacing w:after="140" w:before="320"/>
      </w:pPr>
      <w:r>
        <w:rPr>
          <w:b/>
          <w:bCs/>
          <w:color w:val="1e1a15"/>
          <w:sz w:val="28"/>
          <w:szCs w:val="28"/>
        </w:rPr>
        <w:t xml:space="preserve">Section 5 — Proof &amp; Evidence Framing Language (5 proposals)</w:t>
      </w:r>
    </w:p>
    <w:p>
      <w:pPr>
        <w:spacing w:after="70" w:before="220"/>
      </w:pPr>
      <w:r>
        <w:rPr>
          <w:b/>
          <w:bCs/>
          <w:color w:val="8a5a16"/>
          <w:sz w:val="23"/>
          <w:szCs w:val="23"/>
        </w:rPr>
        <w:t xml:space="preserve">E-1 — The standard evidence citation format for external studies</w:t>
      </w:r>
    </w:p>
    <w:p>
      <w:pPr>
        <w:spacing w:after="80"/>
      </w:pPr>
      <w:r>
        <w:rPr>
          <w:b/>
          <w:bCs/>
        </w:rPr>
        <w:t xml:space="preserve">Proposal:</w:t>
      </w:r>
      <w:r>
        <w:t xml:space="preserve"> When citing an independent study, use this format: [Author/organization] + [year/date] + [scope: N students, districts, demographics] + [what was found]. Then add the availability line. Example: "An independent study examined 79,084 students across 12 Louisiana school districts, 75% economically disadvantaged and 10% English learners. Students using Amira showed statistically significant reading gains at every grade level from kindergarten through grade 5. The study was conducted by Shah, Scanlan, and Wall for the Instructure EdTech Collective in June 2025 and is available in full from Amira Learning."</w:t>
      </w:r>
    </w:p>
    <w:p>
      <w:pPr>
        <w:spacing w:after="40" w:before="40"/>
      </w:pPr>
      <w:r>
        <w:rPr>
          <w:i/>
          <w:iCs/>
          <w:color w:val="8a7f6e"/>
          <w:sz w:val="18"/>
          <w:szCs w:val="18"/>
        </w:rPr>
        <w:t xml:space="preserve">Source: </w:t>
      </w:r>
      <w:r>
        <w:rPr>
          <w:i/>
          <w:iCs/>
          <w:color w:val="8a7f6e"/>
          <w:sz w:val="18"/>
          <w:szCs w:val="18"/>
        </w:rPr>
        <w:t xml:space="preserve">Illinois Field Guide, Part 2 (A Note on Amira ISIP Assess); Maryland Field Guide,</w:t>
      </w:r>
    </w:p>
    <w:p>
      <w:pPr>
        <w:spacing w:after="80"/>
      </w:pPr>
      <w:r>
        <w:t xml:space="preserve">Part 3 (same passage). Cited identically in both.</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E-2 — Vendor-data disclaimer is mandatory when citing internal or outcome data</w:t>
      </w:r>
    </w:p>
    <w:p>
      <w:pPr>
        <w:spacing w:after="80"/>
      </w:pPr>
      <w:r>
        <w:rPr>
          <w:b/>
          <w:bCs/>
        </w:rPr>
        <w:t xml:space="preserve">Proposal:</w:t>
      </w:r>
      <w:r>
        <w:t xml:space="preserve"> Any claim sourced from Amira product documentation or internal outcome data must carry a verification directive. Standard language: "All capability claims below are sourced from Amira Learning product documentation. Confirm features and license inclusions directly with your Amira rep at time of contracting." For outcome data from a single site: "These figures reflect reported outcomes for a single district and school year. Contact [District] for current data before citing in board or budget materials."</w:t>
      </w:r>
    </w:p>
    <w:p>
      <w:pPr>
        <w:spacing w:after="40" w:before="40"/>
      </w:pPr>
      <w:r>
        <w:rPr>
          <w:i/>
          <w:iCs/>
          <w:color w:val="8a7f6e"/>
          <w:sz w:val="18"/>
          <w:szCs w:val="18"/>
        </w:rPr>
        <w:t xml:space="preserve">Source: </w:t>
      </w:r>
      <w:r>
        <w:rPr>
          <w:i/>
          <w:iCs/>
          <w:color w:val="8a7f6e"/>
          <w:sz w:val="18"/>
          <w:szCs w:val="18"/>
        </w:rPr>
        <w:t xml:space="preserve">Illinois Field Guide, "A Note on Amira ISIP Assess" header asterisk; Maryland Field</w:t>
      </w:r>
    </w:p>
    <w:p>
      <w:pPr>
        <w:spacing w:after="80"/>
      </w:pPr>
      <w:r>
        <w:t xml:space="preserve">Guide, Part 3 asterisk and Baltimore County footnote.</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E-3 — Effect-size context: always anchor to a named external benchmark</w:t>
      </w:r>
    </w:p>
    <w:p>
      <w:pPr>
        <w:spacing w:after="80"/>
      </w:pPr>
      <w:r>
        <w:rPr>
          <w:b/>
          <w:bCs/>
        </w:rPr>
        <w:t xml:space="preserve">Proposal:</w:t>
      </w:r>
      <w:r>
        <w:t xml:space="preserve"> When reporting effect sizes, do not state them alone. Always anchor to a recognized external benchmark. The two approved anchors are: John Hattie's "Zone of Desired Effects" (effect sizes above 0.4) and "comparable to high-quality one-on-one tutoring." Do not claim "large" or "significant" without the anchor. Example: "effect sizes of 0.35–0.40 — comparable to high-quality one-on-one tutoring and well within the 'Zone of Desired Effects' for educational interventions."</w:t>
      </w:r>
    </w:p>
    <w:p>
      <w:pPr>
        <w:spacing w:after="40" w:before="40"/>
      </w:pPr>
      <w:r>
        <w:rPr>
          <w:i/>
          <w:iCs/>
          <w:color w:val="8a7f6e"/>
          <w:sz w:val="18"/>
          <w:szCs w:val="18"/>
        </w:rPr>
        <w:t xml:space="preserve">Source: </w:t>
      </w:r>
      <w:r>
        <w:rPr>
          <w:i/>
          <w:iCs/>
          <w:color w:val="8a7f6e"/>
          <w:sz w:val="18"/>
          <w:szCs w:val="18"/>
        </w:rPr>
        <w:t xml:space="preserve">Middle School Impact Study, Key Findings callout box, p. 1.</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E-4 — Dosage framing: always tie the stat to the usage threshold</w:t>
      </w:r>
    </w:p>
    <w:p>
      <w:pPr>
        <w:spacing w:after="80"/>
      </w:pPr>
      <w:r>
        <w:rPr>
          <w:b/>
          <w:bCs/>
        </w:rPr>
        <w:t xml:space="preserve">Proposal:</w:t>
      </w:r>
      <w:r>
        <w:t xml:space="preserve"> When citing outcome data tied to usage, always state the usage threshold first, then the outcome. Never lead with the outcome and bury the threshold. Standard pattern: "Students [meeting/averaging] [X stories per week / X minutes per week] [outcome stat] compared to [low-usage group description]." This prevents readers from attributing typical results to every user.</w:t>
      </w:r>
    </w:p>
    <w:p>
      <w:pPr>
        <w:spacing w:after="40" w:before="40"/>
      </w:pPr>
      <w:r>
        <w:rPr>
          <w:i/>
          <w:iCs/>
          <w:color w:val="8a7f6e"/>
          <w:sz w:val="18"/>
          <w:szCs w:val="18"/>
        </w:rPr>
        <w:t xml:space="preserve">Source: </w:t>
      </w:r>
      <w:r>
        <w:rPr>
          <w:i/>
          <w:iCs/>
          <w:color w:val="8a7f6e"/>
          <w:sz w:val="18"/>
          <w:szCs w:val="18"/>
        </w:rPr>
        <w:t xml:space="preserve">NM Summer School Efficacy, Results section ("students averaging 5+ stories per week</w:t>
      </w:r>
    </w:p>
    <w:p>
      <w:pPr>
        <w:spacing w:after="80"/>
      </w:pPr>
      <w:r>
        <w:t xml:space="preserve">gained 4.68 more percentile points"); Middle School Impact Study, 23-24 Results ("students who met the recommended weekly usage of 20 or more minutes … exhibited accelerated growth").</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E-5 — Subpopulation proof pattern: always name every subgroup, never aggregate them</w:t>
      </w:r>
    </w:p>
    <w:p>
      <w:pPr>
        <w:spacing w:after="80"/>
      </w:pPr>
      <w:r>
        <w:rPr>
          <w:b/>
          <w:bCs/>
        </w:rPr>
        <w:t xml:space="preserve">Proposal:</w:t>
      </w:r>
      <w:r>
        <w:t xml:space="preserve"> When presenting equity or subpopulation outcome data, list each named subgroup individually with its own gain figure — never roll them into "all subpopulations" or "diverse learners." The approved structure: one line per subgroup, with the scale-score or percentile advantage stated as a number. The named subgroups in Amira materials are: Black, Hispanic, All Other, At-Risk, Economically Disadvantaged, Special Education, Emergent Bilingual. Presenting all seven (or however many apply) signals rigor and prevents cherry- picking objections. Example anchor: "In a longitudinal study of 24,000+ students, Amira users saw dramatic scale score advantages over non-users" — followed by the per-subgroup data.</w:t>
      </w:r>
    </w:p>
    <w:p>
      <w:pPr>
        <w:spacing w:after="40" w:before="40"/>
      </w:pPr>
      <w:r>
        <w:rPr>
          <w:i/>
          <w:iCs/>
          <w:color w:val="8a7f6e"/>
          <w:sz w:val="18"/>
          <w:szCs w:val="18"/>
        </w:rPr>
        <w:t xml:space="preserve">Source: </w:t>
      </w:r>
      <w:r>
        <w:rPr>
          <w:i/>
          <w:iCs/>
          <w:color w:val="8a7f6e"/>
          <w:sz w:val="18"/>
          <w:szCs w:val="18"/>
        </w:rPr>
        <w:t xml:space="preserve">OP_Texas one-pager (`OP_Texas_01262026.pdf`), "Learning Acceleration Across</w:t>
      </w:r>
    </w:p>
    <w:p>
      <w:pPr>
        <w:spacing w:after="80"/>
      </w:pPr>
      <w:r>
        <w:t xml:space="preserve">Every Subpopulation" section.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pBdr>
          <w:bottom w:val="single" w:color="C8892F" w:sz="10" w:space="4"/>
        </w:pBdr>
        <w:spacing w:after="140" w:before="320"/>
      </w:pPr>
      <w:r>
        <w:rPr>
          <w:b/>
          <w:bCs/>
          <w:color w:val="1e1a15"/>
          <w:sz w:val="28"/>
          <w:szCs w:val="28"/>
        </w:rPr>
        <w:t xml:space="preserve">Section 6 — Strong Example Passages (7 proposals)</w:t>
      </w:r>
    </w:p>
    <w:p>
      <w:pPr>
        <w:spacing w:after="70" w:before="220"/>
      </w:pPr>
      <w:r>
        <w:rPr>
          <w:b/>
          <w:bCs/>
          <w:color w:val="8a5a16"/>
          <w:sz w:val="23"/>
          <w:szCs w:val="23"/>
        </w:rPr>
        <w:t xml:space="preserve">X-1 — Mission/origin paragraph (use as a model for "about Amira" openers)</w:t>
      </w:r>
    </w:p>
    <w:p>
      <w:pPr>
        <w:spacing w:after="80"/>
      </w:pPr>
      <w:r>
        <w:rPr>
          <w:b/>
          <w:bCs/>
        </w:rPr>
        <w:t xml:space="preserve">Proposal — verbatim passage to store as a "write like this" reference:</w:t>
      </w:r>
    </w:p>
    <w:p>
      <w:pPr>
        <w:spacing w:after="60" w:before="60"/>
        <w:ind w:left="540" w:right="360"/>
      </w:pPr>
      <w:r>
        <w:rPr>
          <w:i/>
          <w:iCs/>
          <w:color w:val="3a342b"/>
        </w:rPr>
        <w:t xml:space="preserve">"Amira was created for one purpose — to couple the Science of Reading with AI, giving every child a pathway to the power of reading. Amira was born in academia, is delivering accelerated growth by reflecting the guidance of leading Reading Scientists, and is rapidly evolving to reflect every key element of Science of Reading Research."</w:t>
      </w:r>
    </w:p>
    <w:p>
      <w:pPr>
        <w:spacing w:after="80"/>
      </w:pPr>
      <w:r>
        <w:t xml:space="preserve">Why it works: single declarative origin statement, academic credibility without jargon, forward- looking close. Use as the template for any "about Amira" introductory paragraph.</w:t>
      </w:r>
    </w:p>
    <w:p>
      <w:pPr>
        <w:spacing w:after="40" w:before="40"/>
      </w:pPr>
      <w:r>
        <w:rPr>
          <w:i/>
          <w:iCs/>
          <w:color w:val="8a7f6e"/>
          <w:sz w:val="18"/>
          <w:szCs w:val="18"/>
        </w:rPr>
        <w:t xml:space="preserve">Source: </w:t>
      </w:r>
      <w:r>
        <w:rPr>
          <w:i/>
          <w:iCs/>
          <w:color w:val="8a7f6e"/>
          <w:sz w:val="18"/>
          <w:szCs w:val="18"/>
        </w:rPr>
        <w:t xml:space="preserve">NM Summer School Efficacy, Overview, p. 2; Middle School Impact Study, Overview,</w:t>
      </w:r>
    </w:p>
    <w:p>
      <w:pPr>
        <w:spacing w:after="80"/>
      </w:pPr>
      <w:r>
        <w:t xml:space="preserve">p. 1. (Same passage, used in both.)</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X-2 — Equity design-principle statement (use for any equity/ELL section opener)</w:t>
      </w:r>
    </w:p>
    <w:p>
      <w:pPr>
        <w:spacing w:after="80"/>
      </w:pPr>
      <w:r>
        <w:rPr>
          <w:b/>
          <w:bCs/>
        </w:rPr>
        <w:t xml:space="preserve">Proposal — verbatim passage to store as a "write like this" reference:</w:t>
      </w:r>
    </w:p>
    <w:p>
      <w:pPr>
        <w:spacing w:after="60" w:before="60"/>
        <w:ind w:left="540" w:right="360"/>
      </w:pPr>
      <w:r>
        <w:rPr>
          <w:i/>
          <w:iCs/>
          <w:color w:val="3a342b"/>
        </w:rPr>
        <w:t xml:space="preserve">"Equity in Amira-powered assessment is not an outcome that can be added at the end. Equity is a property of the system's design, training, and testing. Amira treats equity as the core technical constraint shaping every aspect of the Assessment."</w:t>
      </w:r>
    </w:p>
    <w:p>
      <w:pPr>
        <w:spacing w:after="80"/>
      </w:pPr>
      <w:r>
        <w:t xml:space="preserve">Why it works: reframes equity from a claim about results to a claim about architecture. Strong for RFPs, state submissions, and any content addressing bias or ELL concerns.</w:t>
      </w:r>
    </w:p>
    <w:p>
      <w:pPr>
        <w:spacing w:after="40" w:before="40"/>
      </w:pPr>
      <w:r>
        <w:rPr>
          <w:i/>
          <w:iCs/>
          <w:color w:val="8a7f6e"/>
          <w:sz w:val="18"/>
          <w:szCs w:val="18"/>
        </w:rPr>
        <w:t xml:space="preserve">Source: </w:t>
      </w:r>
      <w:r>
        <w:rPr>
          <w:i/>
          <w:iCs/>
          <w:color w:val="8a7f6e"/>
          <w:sz w:val="18"/>
          <w:szCs w:val="18"/>
        </w:rPr>
        <w:t xml:space="preserve">Delivering Equity Whitepaper, "Amira Is Designed for Equity" section, p. 4.</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X-3 — The coherence problem statement (use for district-leader outreach)</w:t>
      </w:r>
    </w:p>
    <w:p>
      <w:pPr>
        <w:spacing w:after="80"/>
      </w:pPr>
      <w:r>
        <w:rPr>
          <w:b/>
          <w:bCs/>
        </w:rPr>
        <w:t xml:space="preserve">Proposal — verbatim passage to store as a "write like this" reference:</w:t>
      </w:r>
    </w:p>
    <w:p>
      <w:pPr>
        <w:spacing w:after="60" w:before="60"/>
        <w:ind w:left="540" w:right="360"/>
      </w:pPr>
      <w:r>
        <w:rPr>
          <w:i/>
          <w:iCs/>
          <w:color w:val="3a342b"/>
        </w:rPr>
        <w:t xml:space="preserve">"Today's districts face unprecedented literacy demands — grounded in the Science of Reading, driven by equity, and implemented through MTSS frameworks — while navigating an increasingly complex and constrained funding landscape. Federal and state funding sources offer critical opportunities to accelerate literacy outcomes. Yet too often, those funds are applied to disconnected programs that fragment instruction, increase educator burden, and dilute impact."</w:t>
      </w:r>
    </w:p>
    <w:p>
      <w:pPr>
        <w:spacing w:after="80"/>
      </w:pPr>
      <w:r>
        <w:t xml:space="preserve">Why it works: names the exact pain a district leader feels before introducing Amira as the solution. Sets up the coherence value prop without sounding like a product pitch.</w:t>
      </w:r>
    </w:p>
    <w:p>
      <w:pPr>
        <w:spacing w:after="40" w:before="40"/>
      </w:pPr>
      <w:r>
        <w:rPr>
          <w:i/>
          <w:iCs/>
          <w:color w:val="8a7f6e"/>
          <w:sz w:val="18"/>
          <w:szCs w:val="18"/>
        </w:rPr>
        <w:t xml:space="preserve">Source: </w:t>
      </w:r>
      <w:r>
        <w:rPr>
          <w:i/>
          <w:iCs/>
          <w:color w:val="8a7f6e"/>
          <w:sz w:val="18"/>
          <w:szCs w:val="18"/>
        </w:rPr>
        <w:t xml:space="preserve">Funding Guide (FG_05192026), opening paragraphs.</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X-4 — Spanish-first-not-translated positioning (use for Lectura / bilingual content)</w:t>
      </w:r>
    </w:p>
    <w:p>
      <w:pPr>
        <w:spacing w:after="80"/>
      </w:pPr>
      <w:r>
        <w:rPr>
          <w:b/>
          <w:bCs/>
        </w:rPr>
        <w:t xml:space="preserve">Proposal — verbatim passage to store as a "write like this" reference:</w:t>
      </w:r>
    </w:p>
    <w:p>
      <w:pPr>
        <w:spacing w:after="60" w:before="60"/>
        <w:ind w:left="540" w:right="360"/>
      </w:pPr>
      <w:r>
        <w:rPr>
          <w:i/>
          <w:iCs/>
          <w:color w:val="3a342b"/>
        </w:rPr>
        <w:t xml:space="preserve">"Students in bilingual programs deserve more than translated tools. They deserve solutions that recognize dual language as an asset, not an afterthought. Amira honors linguistic identities, builds on students' strengths, and provides equitable access to high-quality literacy growth — in Spanish."</w:t>
      </w:r>
    </w:p>
    <w:p>
      <w:pPr>
        <w:spacing w:after="80"/>
      </w:pPr>
      <w:r>
        <w:t xml:space="preserve">Why it works: leads with the student's dignity before the product claim. The "asset, not an afterthought" line is especially strong for dual-language audiences and ELL advocates.</w:t>
      </w:r>
    </w:p>
    <w:p>
      <w:pPr>
        <w:spacing w:after="40" w:before="40"/>
      </w:pPr>
      <w:r>
        <w:rPr>
          <w:i/>
          <w:iCs/>
          <w:color w:val="8a7f6e"/>
          <w:sz w:val="18"/>
          <w:szCs w:val="18"/>
        </w:rPr>
        <w:t xml:space="preserve">Source: </w:t>
      </w:r>
      <w:r>
        <w:rPr>
          <w:i/>
          <w:iCs/>
          <w:color w:val="8a7f6e"/>
          <w:sz w:val="18"/>
          <w:szCs w:val="18"/>
        </w:rPr>
        <w:t xml:space="preserve">Amira Lectura one-pager, "Honoring Dual Language Learners" section.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X-5 — The "extra weeks of growth" framing (use for ROI conversations with leaders)</w:t>
      </w:r>
    </w:p>
    <w:p>
      <w:pPr>
        <w:spacing w:after="80"/>
      </w:pPr>
      <w:r>
        <w:rPr>
          <w:b/>
          <w:bCs/>
        </w:rPr>
        <w:t xml:space="preserve">Proposal — verbatim passage to store as a "write like this" reference:</w:t>
      </w:r>
    </w:p>
    <w:p>
      <w:pPr>
        <w:spacing w:after="60" w:before="60"/>
        <w:ind w:left="540" w:right="360"/>
      </w:pPr>
      <w:r>
        <w:rPr>
          <w:i/>
          <w:iCs/>
          <w:color w:val="3a342b"/>
        </w:rPr>
        <w:t xml:space="preserve">"Students reading with Amira at dosage achieve a minimum of 45 weeks of growth in a 36-week school year … That means students are not just keeping pace with grade-level expectations — they are gaining back time. Time that would otherwise be lost to unfinished learning, skill gaps, or inconsistent instructional support. For many students, those extra weeks are the difference between remaining below benchmark and reaching grade-level proficiency."</w:t>
      </w:r>
    </w:p>
    <w:p>
      <w:pPr>
        <w:spacing w:after="80"/>
      </w:pPr>
      <w:r>
        <w:t xml:space="preserve">Why it works: translates an abstract effect size into concrete time — a unit that resonates with administrators and parents. The "gaining back time" frame is more emotional and memorable than a percentile gain.</w:t>
      </w:r>
    </w:p>
    <w:p>
      <w:pPr>
        <w:spacing w:after="40" w:before="40"/>
      </w:pPr>
      <w:r>
        <w:rPr>
          <w:i/>
          <w:iCs/>
          <w:color w:val="8a7f6e"/>
          <w:sz w:val="18"/>
          <w:szCs w:val="18"/>
        </w:rPr>
        <w:t xml:space="preserve">Source: </w:t>
      </w:r>
      <w:r>
        <w:rPr>
          <w:i/>
          <w:iCs/>
          <w:color w:val="8a7f6e"/>
          <w:sz w:val="18"/>
          <w:szCs w:val="18"/>
        </w:rPr>
        <w:t xml:space="preserve">EGS one-pager (EGS_05192026), "45 weeks" growth section.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X-6 — Teacher-multiplication quote (use for teacher-capacity and MTSS conversations)</w:t>
      </w:r>
    </w:p>
    <w:p>
      <w:pPr>
        <w:spacing w:after="80"/>
      </w:pPr>
      <w:r>
        <w:rPr>
          <w:b/>
          <w:bCs/>
        </w:rPr>
        <w:t xml:space="preserve">Proposal — verbatim passage to store as a "write like this" reference:</w:t>
      </w:r>
    </w:p>
    <w:p>
      <w:pPr>
        <w:spacing w:after="60" w:before="60"/>
        <w:ind w:left="540" w:right="360"/>
      </w:pPr>
      <w:r>
        <w:rPr>
          <w:i/>
          <w:iCs/>
          <w:color w:val="3a342b"/>
        </w:rPr>
        <w:t xml:space="preserve">"Amira allows the teacher to multiply herself in the classroom. You have a great teacher, and now you have Amira helping you out, and while you're working with a small group, you now have Amira times three, because every student is getting immediate, individualized feedback — growth becomes more equitable, and proficiency becomes possible." — Dr. Faviola Cantu, Chief Academic Officer, Aldine ISD</w:t>
      </w:r>
    </w:p>
    <w:p>
      <w:pPr>
        <w:spacing w:after="80"/>
      </w:pPr>
      <w:r>
        <w:t xml:space="preserve">Why it works: the "multiply herself" metaphor reframes AI assistance as capacity amplification rather than replacement — directly addresses teacher-anxiety objections. The superintendent voice adds credibility. Use in any content addressing teacher workload, MTSS Tier 2/3 deployment, or AI-in-classroom concerns.</w:t>
      </w:r>
    </w:p>
    <w:p>
      <w:pPr>
        <w:spacing w:after="40" w:before="40"/>
      </w:pPr>
      <w:r>
        <w:rPr>
          <w:i/>
          <w:iCs/>
          <w:color w:val="8a7f6e"/>
          <w:sz w:val="18"/>
          <w:szCs w:val="18"/>
        </w:rPr>
        <w:t xml:space="preserve">Source: </w:t>
      </w:r>
      <w:r>
        <w:rPr>
          <w:i/>
          <w:iCs/>
          <w:color w:val="8a7f6e"/>
          <w:sz w:val="18"/>
          <w:szCs w:val="18"/>
        </w:rPr>
        <w:t xml:space="preserve">OP_Texas one-pager (`OP_Texas_01262026.pdf`), "Learning Acceleration Across</w:t>
      </w:r>
    </w:p>
    <w:p>
      <w:pPr>
        <w:spacing w:after="80"/>
      </w:pPr>
      <w:r>
        <w:t xml:space="preserve">Every Subpopulation" section, pull quote.</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70" w:before="220"/>
      </w:pPr>
      <w:r>
        <w:rPr>
          <w:b/>
          <w:bCs/>
          <w:color w:val="8a5a16"/>
          <w:sz w:val="23"/>
          <w:szCs w:val="23"/>
        </w:rPr>
        <w:t xml:space="preserve">X-7 — "Science of Reading + AI = Proven Results" equation (use as closing tagline for overview content)</w:t>
      </w:r>
    </w:p>
    <w:p>
      <w:pPr>
        <w:spacing w:after="80"/>
      </w:pPr>
      <w:r>
        <w:rPr>
          <w:b/>
          <w:bCs/>
        </w:rPr>
        <w:t xml:space="preserve">Proposal — verbatim passage to store as a "write like this" reference:</w:t>
      </w:r>
    </w:p>
    <w:p>
      <w:pPr>
        <w:spacing w:after="60" w:before="60"/>
        <w:ind w:left="540" w:right="360"/>
      </w:pPr>
      <w:r>
        <w:rPr>
          <w:i/>
          <w:iCs/>
          <w:color w:val="3a342b"/>
        </w:rPr>
        <w:t xml:space="preserve">"Science of Reading + AI = PROVEN RESULTS"</w:t>
      </w:r>
    </w:p>
    <w:p>
      <w:pPr>
        <w:spacing w:after="80"/>
      </w:pPr>
      <w:r>
        <w:t xml:space="preserve">Why it works: The equation format is visually and rhetorically efficient — it positions Amira as the synthesis of two things the audience already respects (the Science of Reading standard, and AI's promise of scale), and "Proven Results" carries both the efficacy claim and the credibility cue. Use as a closing visual or footer line in one-pager and overview formats. Not for long-form documents; this is a one-pager register closer.</w:t>
      </w:r>
    </w:p>
    <w:p>
      <w:pPr>
        <w:spacing w:after="40" w:before="40"/>
      </w:pPr>
      <w:r>
        <w:rPr>
          <w:i/>
          <w:iCs/>
          <w:color w:val="8a7f6e"/>
          <w:sz w:val="18"/>
          <w:szCs w:val="18"/>
        </w:rPr>
        <w:t xml:space="preserve">Source: </w:t>
      </w:r>
      <w:r>
        <w:rPr>
          <w:i/>
          <w:iCs/>
          <w:color w:val="8a7f6e"/>
          <w:sz w:val="18"/>
          <w:szCs w:val="18"/>
        </w:rPr>
        <w:t xml:space="preserve">Reading Suite product overview (`Reading Suite_05192026.pdf`), footer/closing</w:t>
      </w:r>
    </w:p>
    <w:p>
      <w:pPr>
        <w:spacing w:after="80"/>
      </w:pPr>
      <w:r>
        <w:t xml:space="preserve">section.</w:t>
      </w:r>
    </w:p>
    <w:p>
      <w:pPr>
        <w:pBdr>
          <w:bottom w:val="single" w:color="D9D2C4" w:sz="6" w:space="6"/>
        </w:pBdr>
        <w:spacing w:after="200" w:before="60"/>
      </w:pPr>
      <w:r>
        <w:rPr>
          <w:b/>
          <w:bCs/>
          <w:color w:val="2f7a52"/>
          <w:sz w:val="22"/>
          <w:szCs w:val="22"/>
        </w:rPr>
        <w:t xml:space="preserve">☐ Approve</w:t>
      </w:r>
      <w:r>
        <w:rPr>
          <w:sz w:val="22"/>
          <w:szCs w:val="22"/>
        </w:rPr>
        <w:t xml:space="preserve">        </w:t>
      </w:r>
      <w:r>
        <w:rPr>
          <w:b/>
          <w:bCs/>
          <w:color w:val="9a3b2f"/>
          <w:sz w:val="22"/>
          <w:szCs w:val="22"/>
        </w:rPr>
        <w:t xml:space="preserve">☐ Reject</w:t>
      </w:r>
      <w:r>
        <w:rPr>
          <w:color w:val="544c40"/>
          <w:sz w:val="20"/>
          <w:szCs w:val="20"/>
        </w:rPr>
        <w:t xml:space="preserve">        Edits: </w:t>
      </w:r>
      <w:r>
        <w:rPr>
          <w:color w:val="b8ad9c"/>
          <w:sz w:val="20"/>
          <w:szCs w:val="20"/>
        </w:rPr>
        <w:t xml:space="preserve">_______________________________</w:t>
      </w:r>
    </w:p>
    <w:p>
      <w:pPr>
        <w:spacing w:after="80"/>
      </w:pPr>
      <w:r>
        <w:t xml:space="preserve">*Document prepared by Artemis, June 9, 2026. Source PDFs are in `/Users/artemis/Desktop/Artemis/artemis-os/writing-samples/`. All 16 PDFs have now been read: 13 via direct text extraction; 3 image-only PDFs (`Reading Suite_05192026.pdf`, `Amira_Tutor_05192026.pdf`, `OP_Texas_01262026.pdf`) recovered via image rendering + vision on June 9, 2026.*</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a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2026-06-09T20:46:44.660Z</dcterms:created>
  <dcterms:modified xsi:type="dcterms:W3CDTF">2026-06-09T20:46:44.661Z</dcterms:modified>
</cp:coreProperties>
</file>

<file path=docProps/custom.xml><?xml version="1.0" encoding="utf-8"?>
<Properties xmlns="http://schemas.openxmlformats.org/officeDocument/2006/custom-properties" xmlns:vt="http://schemas.openxmlformats.org/officeDocument/2006/docPropsVTypes"/>
</file>