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A8E" w:rsidRPr="006D7A80" w:rsidRDefault="006D7A80" w:rsidP="006D7A80">
      <w:pPr>
        <w:spacing w:line="360" w:lineRule="auto"/>
        <w:jc w:val="center"/>
        <w:rPr>
          <w:rFonts w:asciiTheme="majorHAnsi" w:hAnsiTheme="majorHAnsi"/>
          <w:b/>
          <w:sz w:val="24"/>
          <w:szCs w:val="24"/>
        </w:rPr>
      </w:pPr>
      <w:r w:rsidRPr="006D7A80">
        <w:rPr>
          <w:rFonts w:asciiTheme="majorHAnsi" w:hAnsiTheme="majorHAnsi"/>
          <w:b/>
          <w:bCs/>
          <w:sz w:val="24"/>
          <w:szCs w:val="24"/>
        </w:rPr>
        <w:t>ASSESSMENT PRINCIPLES AND PRACTICES</w:t>
      </w:r>
    </w:p>
    <w:p w:rsidR="00882096" w:rsidRPr="006D7A80" w:rsidRDefault="0066656D" w:rsidP="006D7A80">
      <w:pPr>
        <w:spacing w:line="360" w:lineRule="auto"/>
        <w:jc w:val="center"/>
        <w:rPr>
          <w:rFonts w:asciiTheme="majorHAnsi" w:hAnsiTheme="majorHAnsi"/>
          <w:b/>
          <w:sz w:val="24"/>
          <w:szCs w:val="24"/>
        </w:rPr>
      </w:pPr>
      <w:r>
        <w:rPr>
          <w:rFonts w:asciiTheme="majorHAnsi" w:hAnsiTheme="majorHAnsi"/>
          <w:b/>
          <w:sz w:val="24"/>
          <w:szCs w:val="24"/>
        </w:rPr>
        <w:t>SUMMATIVE ASSESSMENT MEMO</w:t>
      </w:r>
    </w:p>
    <w:p w:rsidR="002773C7" w:rsidRPr="006D7A80" w:rsidRDefault="002773C7" w:rsidP="006D7A80">
      <w:pPr>
        <w:spacing w:line="360" w:lineRule="auto"/>
        <w:rPr>
          <w:rFonts w:asciiTheme="majorHAnsi" w:hAnsiTheme="majorHAnsi"/>
          <w:b/>
          <w:sz w:val="24"/>
          <w:szCs w:val="24"/>
        </w:rPr>
      </w:pPr>
    </w:p>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bookmarkStart w:id="0" w:name="_Hlk504378400"/>
            <w:r w:rsidRPr="006D7A80">
              <w:rPr>
                <w:rFonts w:asciiTheme="majorHAnsi" w:eastAsia="Times New Roman" w:hAnsiTheme="majorHAnsi" w:cs="Times New Roman"/>
                <w:b/>
                <w:sz w:val="24"/>
                <w:szCs w:val="24"/>
              </w:rPr>
              <w:t>Module #</w:t>
            </w:r>
          </w:p>
        </w:tc>
        <w:tc>
          <w:tcPr>
            <w:tcW w:w="3714" w:type="pct"/>
          </w:tcPr>
          <w:p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242401001-KM-05,</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NQF Level</w:t>
            </w:r>
          </w:p>
        </w:tc>
        <w:tc>
          <w:tcPr>
            <w:tcW w:w="3714" w:type="pct"/>
          </w:tcPr>
          <w:p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5</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Notional hours</w:t>
            </w:r>
          </w:p>
        </w:tc>
        <w:tc>
          <w:tcPr>
            <w:tcW w:w="3714" w:type="pct"/>
          </w:tcPr>
          <w:p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40</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Credit(s)</w:t>
            </w:r>
          </w:p>
        </w:tc>
        <w:tc>
          <w:tcPr>
            <w:tcW w:w="3714" w:type="pct"/>
          </w:tcPr>
          <w:p w:rsidR="002773C7" w:rsidRPr="006D7A80" w:rsidRDefault="006D7A80"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4</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Development</w:t>
            </w:r>
          </w:p>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Quality Partner</w:t>
            </w:r>
          </w:p>
        </w:tc>
        <w:tc>
          <w:tcPr>
            <w:tcW w:w="3714" w:type="pct"/>
          </w:tcPr>
          <w:p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ETDP SETA</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 xml:space="preserve">Occupation or </w:t>
            </w:r>
            <w:r w:rsidR="00134A8E" w:rsidRPr="006D7A80">
              <w:rPr>
                <w:rFonts w:asciiTheme="majorHAnsi" w:eastAsia="Times New Roman" w:hAnsiTheme="majorHAnsi" w:cs="Times New Roman"/>
                <w:b/>
                <w:sz w:val="24"/>
                <w:szCs w:val="24"/>
              </w:rPr>
              <w:t>Specialization</w:t>
            </w:r>
          </w:p>
        </w:tc>
        <w:tc>
          <w:tcPr>
            <w:tcW w:w="3714" w:type="pct"/>
          </w:tcPr>
          <w:p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242401001;Learning and Development Practitioner</w:t>
            </w:r>
          </w:p>
        </w:tc>
      </w:tr>
      <w:tr w:rsidR="002773C7" w:rsidRPr="006D7A80" w:rsidTr="00144453">
        <w:tc>
          <w:tcPr>
            <w:tcW w:w="1286" w:type="pct"/>
            <w:shd w:val="clear" w:color="auto" w:fill="C6D9F1"/>
          </w:tcPr>
          <w:p w:rsidR="002773C7" w:rsidRPr="006D7A80" w:rsidRDefault="002773C7" w:rsidP="006D7A80">
            <w:pPr>
              <w:spacing w:after="0" w:line="360" w:lineRule="auto"/>
              <w:jc w:val="both"/>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 xml:space="preserve">Associated Occupation </w:t>
            </w:r>
          </w:p>
        </w:tc>
        <w:tc>
          <w:tcPr>
            <w:tcW w:w="3714" w:type="pct"/>
          </w:tcPr>
          <w:p w:rsidR="002773C7" w:rsidRPr="006D7A80" w:rsidRDefault="000B659D"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242401001;Learning and Development Practitioner</w:t>
            </w:r>
          </w:p>
        </w:tc>
      </w:tr>
      <w:bookmarkEnd w:id="0"/>
    </w:tbl>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6D7A80"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bookmarkStart w:id="1" w:name="_Hlk503954940"/>
            <w:r w:rsidRPr="006D7A80">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tr w:rsidR="002773C7" w:rsidRPr="006D7A80"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6D7A80" w:rsidRDefault="002773C7" w:rsidP="006D7A80">
            <w:pPr>
              <w:spacing w:after="0" w:line="360" w:lineRule="auto"/>
              <w:rPr>
                <w:rFonts w:asciiTheme="majorHAnsi" w:eastAsia="Times New Roman" w:hAnsiTheme="majorHAnsi" w:cs="Arial"/>
                <w:b/>
                <w:bCs/>
                <w:color w:val="000000"/>
                <w:sz w:val="24"/>
                <w:szCs w:val="24"/>
                <w:lang w:val="en-GB"/>
              </w:rPr>
            </w:pPr>
            <w:r w:rsidRPr="006D7A80">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rsidR="002773C7" w:rsidRPr="006D7A80" w:rsidRDefault="002773C7" w:rsidP="006D7A80">
            <w:pPr>
              <w:spacing w:after="0" w:line="360" w:lineRule="auto"/>
              <w:rPr>
                <w:rFonts w:asciiTheme="majorHAnsi" w:eastAsia="Times New Roman" w:hAnsiTheme="majorHAnsi" w:cs="Arial"/>
                <w:color w:val="000000"/>
                <w:sz w:val="24"/>
                <w:szCs w:val="24"/>
                <w:lang w:val="en-GB"/>
              </w:rPr>
            </w:pPr>
          </w:p>
        </w:tc>
      </w:tr>
      <w:bookmarkEnd w:id="1"/>
    </w:tbl>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p w:rsidR="002773C7" w:rsidRPr="006D7A80" w:rsidRDefault="002773C7" w:rsidP="006D7A80">
      <w:pPr>
        <w:shd w:val="clear" w:color="auto" w:fill="9CC2E5" w:themeFill="accent1" w:themeFillTint="99"/>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lastRenderedPageBreak/>
        <w:t>Note to the learner</w:t>
      </w:r>
    </w:p>
    <w:p w:rsidR="002773C7" w:rsidRPr="006D7A80" w:rsidRDefault="002773C7" w:rsidP="006D7A80">
      <w:pPr>
        <w:tabs>
          <w:tab w:val="left" w:pos="5387"/>
        </w:tabs>
        <w:spacing w:after="0" w:line="360" w:lineRule="auto"/>
        <w:jc w:val="center"/>
        <w:rPr>
          <w:rFonts w:asciiTheme="majorHAnsi" w:eastAsia="Times New Roman" w:hAnsiTheme="majorHAnsi" w:cs="Times New Roman"/>
          <w:color w:val="FF0000"/>
          <w:sz w:val="24"/>
          <w:szCs w:val="24"/>
        </w:rPr>
      </w:pPr>
      <w:r w:rsidRPr="006D7A80">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4B4B82"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Purpose</w:t>
      </w:r>
    </w:p>
    <w:p w:rsidR="002773C7" w:rsidRPr="006D7A80" w:rsidRDefault="006D7A80" w:rsidP="006D7A80">
      <w:p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The main focus of the learning in this knowledge module is to build an understanding of assessment of learner competencies in an occupational context.</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Topic elements to be covered include</w:t>
      </w:r>
    </w:p>
    <w:p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KM-05-KT01: Assessment practices, methods and concepts (25%)</w:t>
      </w:r>
    </w:p>
    <w:p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KM-05-KT02: Evidence collection and recording concepts and principles (25%)</w:t>
      </w:r>
    </w:p>
    <w:p w:rsidR="006D7A80"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KM-05-KT03: Evidence evaluation concepts and principles (25%)</w:t>
      </w:r>
    </w:p>
    <w:p w:rsidR="002773C7" w:rsidRPr="006D7A80" w:rsidRDefault="006D7A80" w:rsidP="006D7A80">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KM-05-KT04: Assessment administration and regulatory practices (25</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Exemptions</w:t>
      </w:r>
    </w:p>
    <w:p w:rsidR="006D7A80" w:rsidRPr="006D7A80" w:rsidRDefault="006D7A80" w:rsidP="006D7A80">
      <w:pPr>
        <w:pStyle w:val="Default"/>
        <w:spacing w:line="360" w:lineRule="auto"/>
        <w:rPr>
          <w:rFonts w:asciiTheme="majorHAnsi" w:hAnsiTheme="majorHAnsi"/>
        </w:rPr>
      </w:pPr>
    </w:p>
    <w:p w:rsidR="006D7A80" w:rsidRPr="006D7A80" w:rsidRDefault="006D7A80" w:rsidP="006D7A80">
      <w:pPr>
        <w:pStyle w:val="Default"/>
        <w:spacing w:line="360" w:lineRule="auto"/>
        <w:rPr>
          <w:rFonts w:asciiTheme="majorHAnsi" w:hAnsiTheme="majorHAnsi"/>
        </w:rPr>
      </w:pPr>
      <w:r w:rsidRPr="006D7A80">
        <w:rPr>
          <w:rFonts w:asciiTheme="majorHAnsi" w:hAnsiTheme="majorHAnsi"/>
        </w:rPr>
        <w:t xml:space="preserve">No exemptions are currently </w:t>
      </w:r>
      <w:proofErr w:type="spellStart"/>
      <w:r w:rsidRPr="006D7A80">
        <w:rPr>
          <w:rFonts w:asciiTheme="majorHAnsi" w:hAnsiTheme="majorHAnsi"/>
        </w:rPr>
        <w:t>recognised</w:t>
      </w:r>
      <w:proofErr w:type="spellEnd"/>
      <w:r w:rsidRPr="006D7A80">
        <w:rPr>
          <w:rFonts w:asciiTheme="majorHAnsi" w:hAnsiTheme="majorHAnsi"/>
        </w:rPr>
        <w:t xml:space="preserve"> for any of the listed knowledge modules. An RPL approach is recommended for all listed knowledge modules. </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4B4B82"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Entry Requirements</w:t>
      </w:r>
    </w:p>
    <w:p w:rsidR="002773C7" w:rsidRPr="006D7A80" w:rsidRDefault="000B659D" w:rsidP="006D7A80">
      <w:p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NQF level 4 with Communication</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Provider Accreditation Requirements for the Knowledge Module</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Physical Requirements</w:t>
      </w:r>
    </w:p>
    <w:p w:rsidR="006D7A80" w:rsidRPr="006D7A80" w:rsidRDefault="006D7A80" w:rsidP="006D7A80">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Learning and development resources aligned to the scope and content of the module</w:t>
      </w:r>
    </w:p>
    <w:p w:rsidR="002773C7" w:rsidRPr="006D7A80" w:rsidRDefault="006D7A80" w:rsidP="006D7A80">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lastRenderedPageBreak/>
        <w:t>Learner assessment resources (database, tools, records)</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Human Resource Requirements:</w:t>
      </w:r>
    </w:p>
    <w:p w:rsidR="006D7A80" w:rsidRPr="006D7A80" w:rsidRDefault="006D7A80" w:rsidP="006D7A80">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rsidR="002773C7" w:rsidRPr="006D7A80" w:rsidRDefault="006D7A80" w:rsidP="006D7A80">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assessment expertise in terms of subject matter related prior learning, experience and credibility</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Legal Requirements</w:t>
      </w:r>
    </w:p>
    <w:p w:rsidR="004B4B82" w:rsidRPr="006D7A80" w:rsidRDefault="006D7A80" w:rsidP="006D7A80">
      <w:pPr>
        <w:pStyle w:val="ListParagraph"/>
        <w:numPr>
          <w:ilvl w:val="0"/>
          <w:numId w:val="9"/>
        </w:numPr>
        <w:tabs>
          <w:tab w:val="left" w:pos="5387"/>
        </w:tabs>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rsidR="004B4B82" w:rsidRPr="006D7A80" w:rsidRDefault="004B4B82" w:rsidP="006D7A80">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Venue, Date and Time:</w:t>
      </w:r>
    </w:p>
    <w:p w:rsidR="004B4B82" w:rsidRPr="006D7A80" w:rsidRDefault="004B4B82" w:rsidP="006D7A80">
      <w:pPr>
        <w:spacing w:after="0" w:line="360" w:lineRule="auto"/>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Consult your facilitator should there be any changes to the venue, date and/or time.</w:t>
      </w:r>
    </w:p>
    <w:p w:rsidR="002773C7" w:rsidRPr="006D7A80" w:rsidRDefault="004B4B82" w:rsidP="006D7A80">
      <w:pPr>
        <w:tabs>
          <w:tab w:val="left" w:pos="5387"/>
        </w:tabs>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sz w:val="24"/>
          <w:szCs w:val="24"/>
        </w:rPr>
        <w:t xml:space="preserve">  Refer to your timetable</w:t>
      </w:r>
    </w:p>
    <w:p w:rsidR="00134A8E" w:rsidRPr="006D7A80" w:rsidRDefault="00134A8E" w:rsidP="006D7A80">
      <w:pPr>
        <w:shd w:val="clear" w:color="auto" w:fill="9CC2E5" w:themeFill="accent1" w:themeFillTint="99"/>
        <w:spacing w:after="0"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Assessments</w:t>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134A8E" w:rsidRPr="006D7A80" w:rsidRDefault="00134A8E"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134A8E" w:rsidRPr="006D7A80" w:rsidRDefault="00134A8E" w:rsidP="006D7A80">
      <w:pPr>
        <w:spacing w:after="0" w:line="360" w:lineRule="auto"/>
        <w:jc w:val="both"/>
        <w:rPr>
          <w:rFonts w:asciiTheme="majorHAnsi" w:eastAsia="Times New Roman" w:hAnsiTheme="majorHAnsi" w:cs="Times New Roman"/>
          <w:sz w:val="24"/>
          <w:szCs w:val="24"/>
        </w:rPr>
      </w:pPr>
    </w:p>
    <w:p w:rsidR="00134A8E" w:rsidRPr="006D7A80" w:rsidRDefault="00134A8E" w:rsidP="006D7A80">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134A8E" w:rsidRPr="006D7A80" w:rsidRDefault="00134A8E" w:rsidP="006D7A80">
      <w:pPr>
        <w:spacing w:after="0" w:line="360" w:lineRule="auto"/>
        <w:jc w:val="both"/>
        <w:rPr>
          <w:rFonts w:asciiTheme="majorHAnsi" w:eastAsia="Times New Roman" w:hAnsiTheme="majorHAnsi" w:cs="Times New Roman"/>
          <w:sz w:val="24"/>
          <w:szCs w:val="24"/>
        </w:rPr>
      </w:pPr>
    </w:p>
    <w:p w:rsidR="002773C7" w:rsidRPr="00B3215C" w:rsidRDefault="00134A8E" w:rsidP="00B3215C">
      <w:pPr>
        <w:spacing w:after="0" w:line="360" w:lineRule="auto"/>
        <w:jc w:val="both"/>
        <w:rPr>
          <w:rFonts w:asciiTheme="majorHAnsi" w:eastAsia="Times New Roman" w:hAnsiTheme="majorHAnsi" w:cs="Times New Roman"/>
          <w:sz w:val="24"/>
          <w:szCs w:val="24"/>
        </w:rPr>
      </w:pPr>
      <w:r w:rsidRPr="006D7A80">
        <w:rPr>
          <w:rFonts w:asciiTheme="majorHAnsi" w:eastAsia="Times New Roman" w:hAnsiTheme="majorHAnsi" w:cs="Times New Roman"/>
          <w:sz w:val="24"/>
          <w:szCs w:val="24"/>
        </w:rPr>
        <w:t>Listen carefully to the instructions of the facilitator and do the given activities in the ti</w:t>
      </w:r>
      <w:r w:rsidR="00B3215C">
        <w:rPr>
          <w:rFonts w:asciiTheme="majorHAnsi" w:eastAsia="Times New Roman" w:hAnsiTheme="majorHAnsi" w:cs="Times New Roman"/>
          <w:sz w:val="24"/>
          <w:szCs w:val="24"/>
        </w:rPr>
        <w:t>me given to you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6D7A80"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means that other books are available for further information on a particular topic/subject.</w:t>
            </w:r>
          </w:p>
        </w:tc>
      </w:tr>
      <w:tr w:rsidR="00134A8E" w:rsidRPr="006D7A80"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rsidR="00134A8E" w:rsidRPr="006D7A80" w:rsidRDefault="00134A8E" w:rsidP="006D7A80">
            <w:pPr>
              <w:spacing w:after="0" w:line="360" w:lineRule="auto"/>
              <w:rPr>
                <w:rFonts w:asciiTheme="majorHAnsi" w:eastAsia="Calibri" w:hAnsiTheme="majorHAnsi" w:cs="Times New Roman"/>
                <w:noProof/>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b/>
                <w:noProof/>
                <w:sz w:val="24"/>
                <w:szCs w:val="24"/>
              </w:rPr>
            </w:pPr>
            <w:r w:rsidRPr="006D7A80">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refers to any examples, handouts, checklists, etc…</w:t>
            </w:r>
          </w:p>
        </w:tc>
      </w:tr>
      <w:tr w:rsidR="00134A8E" w:rsidRPr="006D7A80"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6D7A80"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rsidR="00134A8E" w:rsidRPr="006D7A80" w:rsidRDefault="00134A8E" w:rsidP="006D7A80">
            <w:pPr>
              <w:spacing w:after="0" w:line="360" w:lineRule="auto"/>
              <w:rPr>
                <w:rFonts w:asciiTheme="majorHAnsi" w:eastAsia="Calibri" w:hAnsiTheme="majorHAnsi" w:cs="Times New Roman"/>
                <w:noProof/>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sz w:val="24"/>
                <w:szCs w:val="24"/>
              </w:rPr>
            </w:pPr>
            <w:r w:rsidRPr="006D7A80">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6D7A80"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6D7A80" w:rsidRDefault="00134A8E" w:rsidP="006D7A80">
            <w:pPr>
              <w:spacing w:after="0" w:line="360" w:lineRule="auto"/>
              <w:rPr>
                <w:rFonts w:asciiTheme="majorHAnsi" w:eastAsia="Calibri" w:hAnsiTheme="majorHAnsi" w:cs="Times New Roman"/>
                <w:noProof/>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sz w:val="24"/>
                <w:szCs w:val="24"/>
              </w:rPr>
            </w:pPr>
            <w:r w:rsidRPr="006D7A80">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represents any exercise to be completed on a specific topic at home by you or in a group.</w:t>
            </w:r>
          </w:p>
        </w:tc>
      </w:tr>
      <w:tr w:rsidR="00134A8E" w:rsidRPr="006D7A80" w:rsidTr="00144453">
        <w:tc>
          <w:tcPr>
            <w:tcW w:w="1728" w:type="dxa"/>
            <w:tcBorders>
              <w:top w:val="single" w:sz="4" w:space="0" w:color="000000"/>
              <w:left w:val="single" w:sz="4" w:space="0" w:color="000000"/>
              <w:bottom w:val="single" w:sz="4" w:space="0" w:color="000000"/>
              <w:right w:val="single" w:sz="4" w:space="0" w:color="000000"/>
            </w:tcBorders>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4384" behindDoc="0" locked="0" layoutInCell="1" allowOverlap="1">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b/>
                <w:sz w:val="24"/>
                <w:szCs w:val="24"/>
              </w:rPr>
            </w:pPr>
          </w:p>
          <w:p w:rsidR="00134A8E" w:rsidRPr="006D7A80" w:rsidRDefault="00134A8E" w:rsidP="006D7A80">
            <w:pPr>
              <w:spacing w:after="0" w:line="360" w:lineRule="auto"/>
              <w:rPr>
                <w:rFonts w:asciiTheme="majorHAnsi" w:eastAsia="Calibri" w:hAnsiTheme="majorHAnsi" w:cs="Times New Roman"/>
                <w:sz w:val="24"/>
                <w:szCs w:val="24"/>
              </w:rPr>
            </w:pPr>
            <w:r w:rsidRPr="006D7A80">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An important aspect of the assessment process is proof of competence. This can be achieved by observation or a portfolio of evidence should be submitted in this regard.</w:t>
            </w:r>
          </w:p>
          <w:p w:rsidR="00134A8E" w:rsidRPr="006D7A80" w:rsidRDefault="00134A8E" w:rsidP="006D7A80">
            <w:pPr>
              <w:spacing w:after="0" w:line="360" w:lineRule="auto"/>
              <w:rPr>
                <w:rFonts w:asciiTheme="majorHAnsi" w:eastAsia="Calibri" w:hAnsiTheme="majorHAnsi" w:cs="Times New Roman"/>
                <w:b/>
                <w:sz w:val="24"/>
                <w:szCs w:val="24"/>
              </w:rPr>
            </w:pPr>
          </w:p>
        </w:tc>
      </w:tr>
      <w:tr w:rsidR="00134A8E" w:rsidRPr="006D7A80"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Times New Roman" w:hAnsiTheme="majorHAnsi" w:cs="Times New Roman"/>
                <w:noProof/>
                <w:sz w:val="24"/>
                <w:szCs w:val="24"/>
              </w:rPr>
              <w:lastRenderedPageBreak/>
              <w:drawing>
                <wp:anchor distT="0" distB="0" distL="114300" distR="114300" simplePos="0" relativeHeight="251665408" behindDoc="0" locked="0" layoutInCell="1" allowOverlap="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7A80">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6D7A80"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rsidR="00134A8E" w:rsidRPr="006D7A80" w:rsidRDefault="00134A8E" w:rsidP="006D7A80">
            <w:pPr>
              <w:spacing w:after="0" w:line="360" w:lineRule="auto"/>
              <w:rPr>
                <w:rFonts w:asciiTheme="majorHAnsi" w:eastAsia="Calibri" w:hAnsiTheme="majorHAnsi" w:cs="Times New Roman"/>
                <w:b/>
                <w:noProof/>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7A80">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indicates practical tips you can adopt in the future.</w:t>
            </w:r>
          </w:p>
        </w:tc>
      </w:tr>
      <w:tr w:rsidR="00134A8E" w:rsidRPr="006D7A80"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rsidR="00134A8E" w:rsidRPr="006D7A80" w:rsidRDefault="00134A8E" w:rsidP="006D7A80">
            <w:pPr>
              <w:spacing w:after="0" w:line="360" w:lineRule="auto"/>
              <w:rPr>
                <w:rFonts w:asciiTheme="majorHAnsi" w:eastAsia="Calibri" w:hAnsiTheme="majorHAnsi" w:cs="Times New Roman"/>
                <w:sz w:val="24"/>
                <w:szCs w:val="24"/>
              </w:rPr>
            </w:pPr>
            <w:r w:rsidRPr="006D7A80">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7A80">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6D7A80" w:rsidRDefault="00134A8E" w:rsidP="006D7A80">
            <w:pPr>
              <w:spacing w:after="0" w:line="360" w:lineRule="auto"/>
              <w:rPr>
                <w:rFonts w:asciiTheme="majorHAnsi" w:eastAsia="Calibri" w:hAnsiTheme="majorHAnsi" w:cs="Times New Roman"/>
                <w:b/>
                <w:sz w:val="24"/>
                <w:szCs w:val="24"/>
              </w:rPr>
            </w:pPr>
            <w:r w:rsidRPr="006D7A80">
              <w:rPr>
                <w:rFonts w:asciiTheme="majorHAnsi" w:eastAsia="Calibri" w:hAnsiTheme="majorHAnsi" w:cs="Times New Roman"/>
                <w:b/>
                <w:sz w:val="24"/>
                <w:szCs w:val="24"/>
              </w:rPr>
              <w:t>This icon represents important notes you must remember as part of the learning process.</w:t>
            </w:r>
          </w:p>
        </w:tc>
      </w:tr>
    </w:tbl>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D7A80" w:rsidTr="002773C7">
        <w:tc>
          <w:tcPr>
            <w:tcW w:w="9350" w:type="dxa"/>
            <w:shd w:val="clear" w:color="auto" w:fill="9CC2E5" w:themeFill="accent1" w:themeFillTint="99"/>
          </w:tcPr>
          <w:p w:rsidR="002773C7" w:rsidRPr="006D7A80" w:rsidRDefault="006D7A80" w:rsidP="006D7A80">
            <w:pPr>
              <w:tabs>
                <w:tab w:val="left" w:pos="5387"/>
              </w:tabs>
              <w:spacing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KM-05-KT01: Assessment practices, methods and concepts</w:t>
            </w:r>
          </w:p>
        </w:tc>
      </w:tr>
    </w:tbl>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KT0101</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practices (Assessment plan, Pre-assessment briefing, Evidence, Competence, Feedback)</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KT0102</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concepts within the QCTO model (Internal and final integrated summative external assessment)</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KT0103</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Principles of good assessment practice (Fairness, Validity, Reliability, Sufficiency, Practicability, Currency of evidence)</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KT0104</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theories (Outcomes-based assessment, Competency-based assessments, Traditional assessment)</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KT0105</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Types of assessment (pre-</w:t>
            </w:r>
            <w:proofErr w:type="spellStart"/>
            <w:r w:rsidRPr="006D7A80">
              <w:rPr>
                <w:rFonts w:asciiTheme="majorHAnsi" w:hAnsiTheme="majorHAnsi"/>
                <w:sz w:val="24"/>
                <w:szCs w:val="24"/>
              </w:rPr>
              <w:t>programme</w:t>
            </w:r>
            <w:proofErr w:type="spellEnd"/>
            <w:r w:rsidRPr="006D7A80">
              <w:rPr>
                <w:rFonts w:asciiTheme="majorHAnsi" w:hAnsiTheme="majorHAnsi"/>
                <w:sz w:val="24"/>
                <w:szCs w:val="24"/>
              </w:rPr>
              <w:t>, continuous, formative, integrated, summative)</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KT0106</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RPL Assessment objectives and practices</w:t>
            </w:r>
          </w:p>
        </w:tc>
      </w:tr>
      <w:tr w:rsidR="002773C7" w:rsidRPr="006D7A80" w:rsidTr="002773C7">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KT0107</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Domains of competence (practical, foundational and reflexive</w:t>
            </w:r>
          </w:p>
        </w:tc>
      </w:tr>
    </w:tbl>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188"/>
      </w:tblGrid>
      <w:tr w:rsidR="00B3215C" w:rsidRPr="00B3215C" w:rsidTr="00990203">
        <w:trPr>
          <w:trHeight w:val="323"/>
        </w:trPr>
        <w:tc>
          <w:tcPr>
            <w:tcW w:w="1188" w:type="dxa"/>
            <w:shd w:val="clear" w:color="auto" w:fill="9CC2E5" w:themeFill="accent1" w:themeFillTint="99"/>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ACTIVITY</w:t>
            </w:r>
          </w:p>
        </w:tc>
      </w:tr>
      <w:tr w:rsidR="00B3215C" w:rsidRPr="00B3215C" w:rsidTr="00990203">
        <w:trPr>
          <w:trHeight w:val="323"/>
        </w:trPr>
        <w:tc>
          <w:tcPr>
            <w:tcW w:w="1188" w:type="dxa"/>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1</w:t>
            </w:r>
          </w:p>
        </w:tc>
      </w:tr>
    </w:tbl>
    <w:p w:rsidR="00B3215C" w:rsidRPr="00B3215C" w:rsidRDefault="00B3215C" w:rsidP="00B3215C">
      <w:pPr>
        <w:spacing w:line="360" w:lineRule="auto"/>
        <w:rPr>
          <w:rFonts w:asciiTheme="majorHAnsi" w:hAnsiTheme="majorHAnsi"/>
          <w:b/>
          <w:sz w:val="24"/>
          <w:szCs w:val="24"/>
        </w:rPr>
      </w:pPr>
      <w:r w:rsidRPr="00B3215C">
        <w:rPr>
          <w:rFonts w:asciiTheme="majorHAnsi" w:hAnsiTheme="majorHAnsi"/>
          <w:b/>
          <w:sz w:val="24"/>
          <w:szCs w:val="24"/>
        </w:rPr>
        <w:t>Explain what assessment in practice is</w:t>
      </w:r>
    </w:p>
    <w:p w:rsidR="00B3215C" w:rsidRPr="00B3215C" w:rsidRDefault="00B3215C" w:rsidP="00B3215C">
      <w:pPr>
        <w:spacing w:line="360" w:lineRule="auto"/>
        <w:rPr>
          <w:rFonts w:asciiTheme="majorHAnsi" w:hAnsiTheme="majorHAnsi"/>
          <w:color w:val="FF0000"/>
          <w:sz w:val="24"/>
          <w:szCs w:val="24"/>
        </w:rPr>
      </w:pPr>
      <w:r w:rsidRPr="00B3215C">
        <w:rPr>
          <w:rFonts w:asciiTheme="majorHAnsi" w:hAnsiTheme="majorHAnsi"/>
          <w:color w:val="FF0000"/>
          <w:sz w:val="24"/>
          <w:szCs w:val="24"/>
        </w:rPr>
        <w:t>Although assessments are currently used for many purposes in the educational system, a premise of this report is that their effectiveness and utility must ultimately be judged by the extent to which they promote student learning. The aim of assessment should be “to educate and improve student performance, not merely to audit it. To this end, people should gain important and useful information from every assessment situation. In education, as in other professions, good decision making depends on access to relevant, accurate, and timely information. Furthermore, the information gained should be put to good use by informing decisions about curriculum and instruction and ultimat</w:t>
      </w:r>
      <w:r w:rsidRPr="00B3215C">
        <w:rPr>
          <w:rFonts w:asciiTheme="majorHAnsi" w:hAnsiTheme="majorHAnsi"/>
          <w:color w:val="FF0000"/>
          <w:sz w:val="24"/>
          <w:szCs w:val="24"/>
        </w:rPr>
        <w:t>ely improving student learning.</w:t>
      </w:r>
    </w:p>
    <w:p w:rsidR="002773C7" w:rsidRPr="00B3215C" w:rsidRDefault="00B3215C" w:rsidP="006D7A80">
      <w:pPr>
        <w:spacing w:line="360" w:lineRule="auto"/>
        <w:rPr>
          <w:rFonts w:asciiTheme="majorHAnsi" w:hAnsiTheme="majorHAnsi"/>
          <w:color w:val="FF0000"/>
          <w:sz w:val="24"/>
          <w:szCs w:val="24"/>
        </w:rPr>
      </w:pPr>
      <w:r w:rsidRPr="00B3215C">
        <w:rPr>
          <w:rFonts w:asciiTheme="majorHAnsi" w:hAnsiTheme="majorHAnsi"/>
          <w:color w:val="FF0000"/>
          <w:sz w:val="24"/>
          <w:szCs w:val="24"/>
        </w:rPr>
        <w:t>Assessments do not function in isolation; an assessment’s effectiveness in improving learning depends on its relationships to curriculum and instruction. Ideally, instruction is faithful and effective in relation to curriculum, and assessment reflects curriculum in such a way that it reinforces the best practices in instruction. In actuality, however, the relationships among assessment, curriculum, and instruction are not always ideal. Often assessment taps only a subset of curriculum and without regard to instruction, and can narrow and distort instruction in unintended ways.</w:t>
      </w:r>
    </w:p>
    <w:tbl>
      <w:tblPr>
        <w:tblStyle w:val="TableGrid"/>
        <w:tblW w:w="0" w:type="auto"/>
        <w:tblLook w:val="04A0" w:firstRow="1" w:lastRow="0" w:firstColumn="1" w:lastColumn="0" w:noHBand="0" w:noVBand="1"/>
      </w:tblPr>
      <w:tblGrid>
        <w:gridCol w:w="1188"/>
      </w:tblGrid>
      <w:tr w:rsidR="00B3215C" w:rsidRPr="00B3215C" w:rsidTr="00990203">
        <w:trPr>
          <w:trHeight w:val="323"/>
        </w:trPr>
        <w:tc>
          <w:tcPr>
            <w:tcW w:w="1188" w:type="dxa"/>
            <w:shd w:val="clear" w:color="auto" w:fill="9CC2E5" w:themeFill="accent1" w:themeFillTint="99"/>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ACTIVITY</w:t>
            </w:r>
          </w:p>
        </w:tc>
      </w:tr>
      <w:tr w:rsidR="00B3215C" w:rsidRPr="00B3215C" w:rsidTr="00990203">
        <w:trPr>
          <w:trHeight w:val="323"/>
        </w:trPr>
        <w:tc>
          <w:tcPr>
            <w:tcW w:w="1188" w:type="dxa"/>
          </w:tcPr>
          <w:p w:rsidR="00B3215C" w:rsidRPr="00B3215C" w:rsidRDefault="00B3215C" w:rsidP="00B3215C">
            <w:pPr>
              <w:spacing w:line="360" w:lineRule="auto"/>
              <w:rPr>
                <w:rFonts w:ascii="Calibri Light" w:eastAsia="Calibri" w:hAnsi="Calibri Light" w:cs="Times New Roman"/>
                <w:sz w:val="24"/>
                <w:szCs w:val="24"/>
              </w:rPr>
            </w:pPr>
            <w:r>
              <w:rPr>
                <w:rFonts w:ascii="Calibri Light" w:eastAsia="Calibri" w:hAnsi="Calibri Light" w:cs="Times New Roman"/>
                <w:sz w:val="24"/>
                <w:szCs w:val="24"/>
              </w:rPr>
              <w:t>2</w:t>
            </w:r>
          </w:p>
        </w:tc>
      </w:tr>
    </w:tbl>
    <w:p w:rsidR="00B3215C" w:rsidRPr="006D0792" w:rsidRDefault="006D0792" w:rsidP="00B3215C">
      <w:pPr>
        <w:spacing w:line="360" w:lineRule="auto"/>
        <w:rPr>
          <w:rFonts w:asciiTheme="majorHAnsi" w:hAnsiTheme="majorHAnsi"/>
          <w:b/>
          <w:sz w:val="24"/>
          <w:szCs w:val="24"/>
        </w:rPr>
      </w:pPr>
      <w:r w:rsidRPr="006D0792">
        <w:rPr>
          <w:rFonts w:asciiTheme="majorHAnsi" w:hAnsiTheme="majorHAnsi"/>
          <w:b/>
          <w:sz w:val="24"/>
          <w:szCs w:val="24"/>
        </w:rPr>
        <w:t>List several guidelines to follow when selecting assessment methods:</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Collect information that will answer the program’s questions</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Use multiple methods to assess each student learning outcome</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Include both indirect and direct assessment methods</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lastRenderedPageBreak/>
        <w:t>•</w:t>
      </w:r>
      <w:r w:rsidRPr="006D0792">
        <w:rPr>
          <w:rFonts w:asciiTheme="majorHAnsi" w:hAnsiTheme="majorHAnsi"/>
          <w:color w:val="FF0000"/>
          <w:sz w:val="24"/>
          <w:szCs w:val="24"/>
        </w:rPr>
        <w:tab/>
        <w:t>Include both qualitative and quantitative methods</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Choose methods that allow the assessment of both strengths and weaknesses</w:t>
      </w:r>
    </w:p>
    <w:p w:rsidR="00B3215C"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Utilize capstone courses or “second-year” projects/assignments to directly assess student learning outcomes</w:t>
      </w:r>
    </w:p>
    <w:p w:rsidR="002773C7" w:rsidRPr="006D0792" w:rsidRDefault="00B3215C" w:rsidP="00B3215C">
      <w:pPr>
        <w:spacing w:line="360" w:lineRule="auto"/>
        <w:rPr>
          <w:rFonts w:asciiTheme="majorHAnsi" w:hAnsiTheme="majorHAnsi"/>
          <w:color w:val="FF0000"/>
          <w:sz w:val="24"/>
          <w:szCs w:val="24"/>
        </w:rPr>
      </w:pPr>
      <w:r w:rsidRPr="006D0792">
        <w:rPr>
          <w:rFonts w:asciiTheme="majorHAnsi" w:hAnsiTheme="majorHAnsi"/>
          <w:color w:val="FF0000"/>
          <w:sz w:val="24"/>
          <w:szCs w:val="24"/>
        </w:rPr>
        <w:t>•</w:t>
      </w:r>
      <w:r w:rsidRPr="006D0792">
        <w:rPr>
          <w:rFonts w:asciiTheme="majorHAnsi" w:hAnsiTheme="majorHAnsi"/>
          <w:color w:val="FF0000"/>
          <w:sz w:val="24"/>
          <w:szCs w:val="24"/>
        </w:rPr>
        <w:tab/>
        <w:t>Use established accreditation criteria/standards when developing the assessment plan</w:t>
      </w:r>
    </w:p>
    <w:p w:rsidR="002773C7" w:rsidRPr="006D0792" w:rsidRDefault="002773C7" w:rsidP="006D7A80">
      <w:pPr>
        <w:spacing w:line="360" w:lineRule="auto"/>
        <w:rPr>
          <w:rFonts w:asciiTheme="majorHAnsi" w:hAnsiTheme="majorHAnsi"/>
          <w:color w:val="FF0000"/>
          <w:sz w:val="24"/>
          <w:szCs w:val="24"/>
        </w:rPr>
      </w:pPr>
    </w:p>
    <w:p w:rsidR="00B3215C" w:rsidRPr="006D7A80" w:rsidRDefault="00B3215C"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D7A80" w:rsidTr="00144453">
        <w:tc>
          <w:tcPr>
            <w:tcW w:w="9350" w:type="dxa"/>
            <w:shd w:val="clear" w:color="auto" w:fill="9CC2E5" w:themeFill="accent1" w:themeFillTint="99"/>
          </w:tcPr>
          <w:p w:rsidR="002773C7" w:rsidRPr="006D7A80" w:rsidRDefault="006D7A80" w:rsidP="006D7A80">
            <w:pPr>
              <w:tabs>
                <w:tab w:val="left" w:pos="5387"/>
              </w:tabs>
              <w:spacing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KM-05-KT02: Evidence collection and recording concepts and principles</w:t>
            </w:r>
          </w:p>
        </w:tc>
      </w:tr>
    </w:tbl>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KT0201</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Sources of evidence (Direct, Indirect, Historical)</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KT0202</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Evidence collection instruments that cover assessment of all learning domains</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KT0203</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Evidence collection tools (Observation assessment sheet, Knowledge assessment sheet, End product assessment sheets, Portfolio of Evidence)</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KT0204</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Principles of evidence collection and submission (Validity, Accountability, Accuracy, Current, Consistency, Sufficiency</w:t>
            </w:r>
          </w:p>
        </w:tc>
      </w:tr>
    </w:tbl>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188"/>
      </w:tblGrid>
      <w:tr w:rsidR="00B3215C" w:rsidRPr="00B3215C" w:rsidTr="00990203">
        <w:trPr>
          <w:trHeight w:val="323"/>
        </w:trPr>
        <w:tc>
          <w:tcPr>
            <w:tcW w:w="1188" w:type="dxa"/>
            <w:shd w:val="clear" w:color="auto" w:fill="9CC2E5" w:themeFill="accent1" w:themeFillTint="99"/>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ACTIVITY</w:t>
            </w:r>
          </w:p>
        </w:tc>
      </w:tr>
      <w:tr w:rsidR="00B3215C" w:rsidRPr="00B3215C" w:rsidTr="00990203">
        <w:trPr>
          <w:trHeight w:val="323"/>
        </w:trPr>
        <w:tc>
          <w:tcPr>
            <w:tcW w:w="1188" w:type="dxa"/>
          </w:tcPr>
          <w:p w:rsidR="00B3215C" w:rsidRPr="00B3215C" w:rsidRDefault="006D0792" w:rsidP="00B3215C">
            <w:pPr>
              <w:spacing w:line="360" w:lineRule="auto"/>
              <w:rPr>
                <w:rFonts w:ascii="Calibri Light" w:eastAsia="Calibri" w:hAnsi="Calibri Light" w:cs="Times New Roman"/>
                <w:sz w:val="24"/>
                <w:szCs w:val="24"/>
              </w:rPr>
            </w:pPr>
            <w:r>
              <w:rPr>
                <w:rFonts w:ascii="Calibri Light" w:eastAsia="Calibri" w:hAnsi="Calibri Light" w:cs="Times New Roman"/>
                <w:sz w:val="24"/>
                <w:szCs w:val="24"/>
              </w:rPr>
              <w:t>3</w:t>
            </w:r>
          </w:p>
        </w:tc>
      </w:tr>
    </w:tbl>
    <w:p w:rsidR="006D0792" w:rsidRPr="006D0792" w:rsidRDefault="006D0792" w:rsidP="006D0792">
      <w:pPr>
        <w:spacing w:line="360" w:lineRule="auto"/>
        <w:rPr>
          <w:rFonts w:asciiTheme="majorHAnsi" w:hAnsiTheme="majorHAnsi"/>
          <w:b/>
          <w:sz w:val="24"/>
          <w:szCs w:val="24"/>
        </w:rPr>
      </w:pPr>
      <w:r w:rsidRPr="006D0792">
        <w:rPr>
          <w:rFonts w:asciiTheme="majorHAnsi" w:hAnsiTheme="majorHAnsi"/>
          <w:b/>
          <w:sz w:val="24"/>
          <w:szCs w:val="24"/>
        </w:rPr>
        <w:t xml:space="preserve">Explain what is a portfolio of evidence? </w:t>
      </w:r>
    </w:p>
    <w:p w:rsidR="006D0792" w:rsidRPr="006D0792" w:rsidRDefault="006D0792" w:rsidP="006D0792">
      <w:pPr>
        <w:spacing w:line="360" w:lineRule="auto"/>
        <w:rPr>
          <w:rFonts w:asciiTheme="majorHAnsi" w:hAnsiTheme="majorHAnsi"/>
          <w:color w:val="FF0000"/>
          <w:sz w:val="24"/>
          <w:szCs w:val="24"/>
        </w:rPr>
      </w:pPr>
      <w:r w:rsidRPr="006D0792">
        <w:rPr>
          <w:rFonts w:asciiTheme="majorHAnsi" w:hAnsiTheme="majorHAnsi"/>
          <w:color w:val="FF0000"/>
          <w:sz w:val="24"/>
          <w:szCs w:val="24"/>
        </w:rPr>
        <w:t>A candidate wishing to undergo assessment where a Portfolio of Evidence (POE) is required would need to identify how they can best prove their competence as required in terms of the unit standard requirements. The candidate would need to collect or generate the necessary evidence for inclusion in the portfolio of evidence.</w:t>
      </w:r>
    </w:p>
    <w:p w:rsidR="006D0792" w:rsidRPr="006D0792" w:rsidRDefault="006D0792" w:rsidP="006D0792">
      <w:pPr>
        <w:spacing w:line="360" w:lineRule="auto"/>
        <w:rPr>
          <w:rFonts w:asciiTheme="majorHAnsi" w:hAnsiTheme="majorHAnsi"/>
          <w:color w:val="FF0000"/>
          <w:sz w:val="24"/>
          <w:szCs w:val="24"/>
        </w:rPr>
      </w:pPr>
      <w:r w:rsidRPr="006D0792">
        <w:rPr>
          <w:rFonts w:asciiTheme="majorHAnsi" w:hAnsiTheme="majorHAnsi"/>
          <w:color w:val="FF0000"/>
          <w:sz w:val="24"/>
          <w:szCs w:val="24"/>
        </w:rPr>
        <w:t>The responsibility rests on the candidate to ensure the evidence collected is sufficient and valid to prove competency in all of the specific outcomes as outlined in the unit standard being assessed. The evidence must show clearly that the candidate knows and can do what they claim. The learning outcomes contained in the unit standard will therefore serve as a guide for the candidate.</w:t>
      </w:r>
    </w:p>
    <w:p w:rsidR="006D0792" w:rsidRPr="006D0792" w:rsidRDefault="006D0792" w:rsidP="006D0792">
      <w:pPr>
        <w:spacing w:line="360" w:lineRule="auto"/>
        <w:rPr>
          <w:rFonts w:asciiTheme="majorHAnsi" w:hAnsiTheme="majorHAnsi"/>
          <w:color w:val="FF0000"/>
          <w:sz w:val="24"/>
          <w:szCs w:val="24"/>
        </w:rPr>
      </w:pPr>
      <w:r w:rsidRPr="006D0792">
        <w:rPr>
          <w:rFonts w:asciiTheme="majorHAnsi" w:hAnsiTheme="majorHAnsi"/>
          <w:color w:val="FF0000"/>
          <w:sz w:val="24"/>
          <w:szCs w:val="24"/>
        </w:rPr>
        <w:t xml:space="preserve">Portfolios make continuous assessment possible. Making use of a variety of items serve as evidence the learner has achieved the required outcomes as outlined in a specific unit standard.  The content of portfolios should be created within realistic and appropriate contexts relating </w:t>
      </w:r>
      <w:r w:rsidRPr="006D0792">
        <w:rPr>
          <w:rFonts w:asciiTheme="majorHAnsi" w:hAnsiTheme="majorHAnsi"/>
          <w:color w:val="FF0000"/>
          <w:sz w:val="24"/>
          <w:szCs w:val="24"/>
        </w:rPr>
        <w:lastRenderedPageBreak/>
        <w:t>directly to the unit standard. The portfolio should be viewed as an instrument for telling a story that will communicate something about the achievements of the candidate to the assessor.</w:t>
      </w:r>
    </w:p>
    <w:p w:rsidR="00B3215C" w:rsidRPr="006D0792" w:rsidRDefault="006D0792" w:rsidP="006D0792">
      <w:pPr>
        <w:spacing w:line="360" w:lineRule="auto"/>
        <w:rPr>
          <w:rFonts w:asciiTheme="majorHAnsi" w:hAnsiTheme="majorHAnsi"/>
          <w:color w:val="FF0000"/>
          <w:sz w:val="24"/>
          <w:szCs w:val="24"/>
        </w:rPr>
      </w:pPr>
      <w:r w:rsidRPr="006D0792">
        <w:rPr>
          <w:rFonts w:asciiTheme="majorHAnsi" w:hAnsiTheme="majorHAnsi"/>
          <w:color w:val="FF0000"/>
          <w:sz w:val="24"/>
          <w:szCs w:val="24"/>
        </w:rPr>
        <w:t>Your assessor may ask you to put together a portfolio of evidence, which is a formal collection of documentary evidence that you have obtained during your learning, your career experience, unpaid work, relevant personal interests, and professional development. The more current the evidence, the more useful it is for the purposes of your application for Skills Recognition. However, there is no hard and fast rule about currency; it depends on the competencies that you are applying for. Your assessor will be able to advise you how recent your evidence needs to be.</w:t>
      </w:r>
    </w:p>
    <w:p w:rsidR="00B3215C" w:rsidRDefault="00B3215C" w:rsidP="006D7A80">
      <w:pPr>
        <w:spacing w:line="360" w:lineRule="auto"/>
        <w:rPr>
          <w:rFonts w:asciiTheme="majorHAnsi" w:hAnsiTheme="majorHAnsi"/>
          <w:sz w:val="24"/>
          <w:szCs w:val="24"/>
        </w:rPr>
      </w:pPr>
    </w:p>
    <w:p w:rsidR="00B3215C" w:rsidRDefault="00B3215C" w:rsidP="006D7A80">
      <w:pPr>
        <w:spacing w:line="360" w:lineRule="auto"/>
        <w:rPr>
          <w:rFonts w:asciiTheme="majorHAnsi" w:hAnsiTheme="majorHAnsi"/>
          <w:sz w:val="24"/>
          <w:szCs w:val="24"/>
        </w:rPr>
      </w:pPr>
    </w:p>
    <w:p w:rsidR="00B3215C" w:rsidRDefault="00B3215C"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r w:rsidRPr="006D7A80">
        <w:rPr>
          <w:rFonts w:asciiTheme="majorHAnsi" w:hAnsiTheme="majorHAnsi"/>
          <w:sz w:val="24"/>
          <w:szCs w:val="24"/>
        </w:rPr>
        <w:br w:type="page"/>
      </w: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D7A80" w:rsidTr="00144453">
        <w:tc>
          <w:tcPr>
            <w:tcW w:w="9350" w:type="dxa"/>
            <w:shd w:val="clear" w:color="auto" w:fill="9CC2E5" w:themeFill="accent1" w:themeFillTint="99"/>
          </w:tcPr>
          <w:p w:rsidR="002773C7" w:rsidRPr="006D7A80" w:rsidRDefault="006D7A80" w:rsidP="006D7A80">
            <w:pPr>
              <w:tabs>
                <w:tab w:val="left" w:pos="5387"/>
              </w:tabs>
              <w:spacing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t>KM-05-KT03: Evidence evaluation concepts and principles</w:t>
            </w:r>
          </w:p>
        </w:tc>
      </w:tr>
    </w:tbl>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KT0301</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Rules of evidence (Valid, Authentic, Reliable, Current, Sufficient)</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KT0302</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Assessment results and judgements</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KT0303</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 xml:space="preserve">Assessment feedback </w:t>
            </w:r>
            <w:proofErr w:type="spellStart"/>
            <w:r w:rsidRPr="006D7A80">
              <w:rPr>
                <w:rFonts w:asciiTheme="majorHAnsi" w:hAnsiTheme="majorHAnsi"/>
                <w:sz w:val="24"/>
                <w:szCs w:val="24"/>
              </w:rPr>
              <w:t>practises</w:t>
            </w:r>
            <w:proofErr w:type="spellEnd"/>
            <w:r w:rsidRPr="006D7A80">
              <w:rPr>
                <w:rFonts w:asciiTheme="majorHAnsi" w:hAnsiTheme="majorHAnsi"/>
                <w:sz w:val="24"/>
                <w:szCs w:val="24"/>
              </w:rPr>
              <w:t xml:space="preserve"> and records management</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KT0304</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Standards of assessing evidence (Graded assessments, Competency standards)</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KT0305</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Gap-analysis, remedial actions, guidance and support</w:t>
            </w:r>
          </w:p>
        </w:tc>
      </w:tr>
    </w:tbl>
    <w:p w:rsidR="002773C7" w:rsidRPr="006D7A80" w:rsidRDefault="002773C7" w:rsidP="006D7A80">
      <w:pPr>
        <w:spacing w:line="360" w:lineRule="auto"/>
        <w:rPr>
          <w:rFonts w:asciiTheme="majorHAnsi" w:hAnsiTheme="majorHAnsi"/>
          <w:sz w:val="24"/>
          <w:szCs w:val="24"/>
        </w:rPr>
      </w:pPr>
    </w:p>
    <w:p w:rsidR="002773C7" w:rsidRPr="006D7A80" w:rsidRDefault="002773C7" w:rsidP="006D7A80">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188"/>
      </w:tblGrid>
      <w:tr w:rsidR="00B3215C" w:rsidRPr="00B3215C" w:rsidTr="00990203">
        <w:trPr>
          <w:trHeight w:val="323"/>
        </w:trPr>
        <w:tc>
          <w:tcPr>
            <w:tcW w:w="1188" w:type="dxa"/>
            <w:shd w:val="clear" w:color="auto" w:fill="9CC2E5" w:themeFill="accent1" w:themeFillTint="99"/>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ACTIVITY</w:t>
            </w:r>
          </w:p>
        </w:tc>
      </w:tr>
      <w:tr w:rsidR="00B3215C" w:rsidRPr="00B3215C" w:rsidTr="00990203">
        <w:trPr>
          <w:trHeight w:val="323"/>
        </w:trPr>
        <w:tc>
          <w:tcPr>
            <w:tcW w:w="1188" w:type="dxa"/>
          </w:tcPr>
          <w:p w:rsidR="00B3215C" w:rsidRPr="00B3215C" w:rsidRDefault="00AE272F" w:rsidP="00B3215C">
            <w:pPr>
              <w:spacing w:line="360" w:lineRule="auto"/>
              <w:rPr>
                <w:rFonts w:ascii="Calibri Light" w:eastAsia="Calibri" w:hAnsi="Calibri Light" w:cs="Times New Roman"/>
                <w:sz w:val="24"/>
                <w:szCs w:val="24"/>
              </w:rPr>
            </w:pPr>
            <w:r>
              <w:rPr>
                <w:rFonts w:ascii="Calibri Light" w:eastAsia="Calibri" w:hAnsi="Calibri Light" w:cs="Times New Roman"/>
                <w:sz w:val="24"/>
                <w:szCs w:val="24"/>
              </w:rPr>
              <w:t>4</w:t>
            </w:r>
          </w:p>
        </w:tc>
      </w:tr>
    </w:tbl>
    <w:p w:rsidR="00AE272F" w:rsidRPr="00AE272F" w:rsidRDefault="00AE272F" w:rsidP="00AE272F">
      <w:pPr>
        <w:spacing w:line="360" w:lineRule="auto"/>
        <w:rPr>
          <w:rFonts w:asciiTheme="majorHAnsi" w:hAnsiTheme="majorHAnsi"/>
          <w:b/>
          <w:sz w:val="24"/>
          <w:szCs w:val="24"/>
        </w:rPr>
      </w:pPr>
      <w:r w:rsidRPr="00AE272F">
        <w:rPr>
          <w:rFonts w:asciiTheme="majorHAnsi" w:hAnsiTheme="majorHAnsi"/>
          <w:b/>
          <w:sz w:val="24"/>
          <w:szCs w:val="24"/>
        </w:rPr>
        <w:t>List and explain rules of evidence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It is not good enough to just collect any evidence. Just as the way we collect evidence is guided by the principles of assessment, the way we collect evidence is guided by the rules of evidence.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Rule evidence must...</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Valid</w:t>
      </w:r>
      <w:r w:rsidRPr="00AE272F">
        <w:rPr>
          <w:rFonts w:asciiTheme="majorHAnsi" w:hAnsiTheme="majorHAnsi"/>
          <w:color w:val="FF0000"/>
          <w:sz w:val="24"/>
          <w:szCs w:val="24"/>
        </w:rPr>
        <w:tab/>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Address the elements and performance criteria</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Reflect the skills, knowledge and context described in the competency standard</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Demonstrate the skills and knowledge are applied in real or simulated workplace situations</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Current</w:t>
      </w:r>
      <w:r w:rsidRPr="00AE272F">
        <w:rPr>
          <w:rFonts w:asciiTheme="majorHAnsi" w:hAnsiTheme="majorHAnsi"/>
          <w:color w:val="FF0000"/>
          <w:sz w:val="24"/>
          <w:szCs w:val="24"/>
        </w:rPr>
        <w:tab/>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Demonstrate the candidate's current skills and knowledge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Comply with current standards</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lastRenderedPageBreak/>
        <w:t>Sufficient</w:t>
      </w:r>
      <w:r w:rsidRPr="00AE272F">
        <w:rPr>
          <w:rFonts w:asciiTheme="majorHAnsi" w:hAnsiTheme="majorHAnsi"/>
          <w:color w:val="FF0000"/>
          <w:sz w:val="24"/>
          <w:szCs w:val="24"/>
        </w:rPr>
        <w:tab/>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Demonstrate competence over a period of time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Demonstrate competence that is able to be repeated</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Comply with language, literacy and numeracy levels which match those required by the work task (not beyond)</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Authentic</w:t>
      </w:r>
      <w:r w:rsidRPr="00AE272F">
        <w:rPr>
          <w:rFonts w:asciiTheme="majorHAnsi" w:hAnsiTheme="majorHAnsi"/>
          <w:color w:val="FF0000"/>
          <w:sz w:val="24"/>
          <w:szCs w:val="24"/>
        </w:rPr>
        <w:tab/>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Be the work of the candidate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Be able to be verified as genuine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w:t>
      </w:r>
      <w:r w:rsidRPr="00AE272F">
        <w:rPr>
          <w:rFonts w:asciiTheme="majorHAnsi" w:hAnsiTheme="majorHAnsi"/>
          <w:color w:val="FF0000"/>
          <w:sz w:val="24"/>
          <w:szCs w:val="24"/>
        </w:rPr>
        <w:tab/>
        <w:t>To better understand how these rules affect the way that we assess, let’s have a look at each one in more detail.</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Validity</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The assessor is assured that the learner has the skills, knowledge and attributes as described in the module or unit of competency and associated assessment requirements. For example, the evidence will not be valid if you instruct a candidate to solve printer problems by simply asking: Type a standard office memo on a word processor. Validity is assured when the performance required matches the performance described in a competency standard.</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Currency</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The assessor is assured that the assessment evidence demonstrates current competency. This requires the assessment evidence to be from the present or the very recent past.</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Currency means evidence needs to be checked to ensure it shows recent performance.</w:t>
      </w:r>
    </w:p>
    <w:p w:rsidR="00AE272F"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Sufficiency</w:t>
      </w:r>
    </w:p>
    <w:p w:rsidR="00B3215C" w:rsidRPr="00AE272F" w:rsidRDefault="00AE272F" w:rsidP="00AE272F">
      <w:pPr>
        <w:spacing w:line="360" w:lineRule="auto"/>
        <w:rPr>
          <w:rFonts w:asciiTheme="majorHAnsi" w:hAnsiTheme="majorHAnsi"/>
          <w:color w:val="FF0000"/>
          <w:sz w:val="24"/>
          <w:szCs w:val="24"/>
        </w:rPr>
      </w:pPr>
      <w:r w:rsidRPr="00AE272F">
        <w:rPr>
          <w:rFonts w:asciiTheme="majorHAnsi" w:hAnsiTheme="majorHAnsi"/>
          <w:color w:val="FF0000"/>
          <w:sz w:val="24"/>
          <w:szCs w:val="24"/>
        </w:rPr>
        <w:t xml:space="preserve">The assessor is assured that the quality, quantity and relevance of the assessment evidence </w:t>
      </w:r>
      <w:r w:rsidRPr="00AE272F">
        <w:rPr>
          <w:rFonts w:asciiTheme="majorHAnsi" w:hAnsiTheme="majorHAnsi"/>
          <w:color w:val="FF0000"/>
          <w:sz w:val="24"/>
          <w:szCs w:val="24"/>
        </w:rPr>
        <w:t>enable</w:t>
      </w:r>
      <w:r w:rsidRPr="00AE272F">
        <w:rPr>
          <w:rFonts w:asciiTheme="majorHAnsi" w:hAnsiTheme="majorHAnsi"/>
          <w:color w:val="FF0000"/>
          <w:sz w:val="24"/>
          <w:szCs w:val="24"/>
        </w:rPr>
        <w:t xml:space="preserve"> a </w:t>
      </w:r>
      <w:proofErr w:type="spellStart"/>
      <w:r w:rsidRPr="00AE272F">
        <w:rPr>
          <w:rFonts w:asciiTheme="majorHAnsi" w:hAnsiTheme="majorHAnsi"/>
          <w:color w:val="FF0000"/>
          <w:sz w:val="24"/>
          <w:szCs w:val="24"/>
        </w:rPr>
        <w:t>judgement</w:t>
      </w:r>
      <w:proofErr w:type="spellEnd"/>
      <w:r w:rsidRPr="00AE272F">
        <w:rPr>
          <w:rFonts w:asciiTheme="majorHAnsi" w:hAnsiTheme="majorHAnsi"/>
          <w:color w:val="FF0000"/>
          <w:sz w:val="24"/>
          <w:szCs w:val="24"/>
        </w:rPr>
        <w:t xml:space="preserve"> to be made of a learner’s competency.</w:t>
      </w:r>
    </w:p>
    <w:p w:rsidR="002773C7" w:rsidRPr="006D7A80" w:rsidRDefault="002773C7" w:rsidP="00D21922">
      <w:pPr>
        <w:spacing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D7A80" w:rsidTr="00144453">
        <w:tc>
          <w:tcPr>
            <w:tcW w:w="9350" w:type="dxa"/>
            <w:shd w:val="clear" w:color="auto" w:fill="9CC2E5" w:themeFill="accent1" w:themeFillTint="99"/>
          </w:tcPr>
          <w:p w:rsidR="002773C7" w:rsidRPr="006D7A80" w:rsidRDefault="006D7A80" w:rsidP="006D7A80">
            <w:pPr>
              <w:tabs>
                <w:tab w:val="left" w:pos="5387"/>
              </w:tabs>
              <w:spacing w:line="360" w:lineRule="auto"/>
              <w:rPr>
                <w:rFonts w:asciiTheme="majorHAnsi" w:eastAsia="Times New Roman" w:hAnsiTheme="majorHAnsi" w:cs="Times New Roman"/>
                <w:b/>
                <w:sz w:val="24"/>
                <w:szCs w:val="24"/>
              </w:rPr>
            </w:pPr>
            <w:r w:rsidRPr="006D7A80">
              <w:rPr>
                <w:rFonts w:asciiTheme="majorHAnsi" w:eastAsia="Times New Roman" w:hAnsiTheme="majorHAnsi" w:cs="Times New Roman"/>
                <w:b/>
                <w:sz w:val="24"/>
                <w:szCs w:val="24"/>
              </w:rPr>
              <w:lastRenderedPageBreak/>
              <w:t>KM-05-KT04: Assessment administration and regulatory practices</w:t>
            </w:r>
          </w:p>
        </w:tc>
      </w:tr>
    </w:tbl>
    <w:p w:rsidR="002773C7" w:rsidRPr="006D7A80" w:rsidRDefault="002773C7" w:rsidP="006D7A80">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KT0401</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Standard assessment documentation management</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KT0402</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Rules of certification (Statement of results, National Certificates)</w:t>
            </w:r>
          </w:p>
        </w:tc>
      </w:tr>
      <w:tr w:rsidR="002773C7" w:rsidRPr="006D7A80" w:rsidTr="00144453">
        <w:tc>
          <w:tcPr>
            <w:tcW w:w="1345" w:type="dxa"/>
            <w:shd w:val="clear" w:color="auto" w:fill="9CC2E5" w:themeFill="accent1" w:themeFillTint="99"/>
          </w:tcPr>
          <w:p w:rsidR="002773C7" w:rsidRPr="006D7A80" w:rsidRDefault="006D7A80" w:rsidP="006D7A80">
            <w:pPr>
              <w:spacing w:line="360" w:lineRule="auto"/>
              <w:rPr>
                <w:rFonts w:asciiTheme="majorHAnsi" w:hAnsiTheme="majorHAnsi"/>
                <w:b/>
                <w:sz w:val="24"/>
                <w:szCs w:val="24"/>
              </w:rPr>
            </w:pPr>
            <w:r w:rsidRPr="006D7A80">
              <w:rPr>
                <w:rFonts w:asciiTheme="majorHAnsi" w:hAnsiTheme="majorHAnsi"/>
                <w:b/>
                <w:sz w:val="24"/>
                <w:szCs w:val="24"/>
              </w:rPr>
              <w:t>KT0403</w:t>
            </w:r>
          </w:p>
        </w:tc>
        <w:tc>
          <w:tcPr>
            <w:tcW w:w="8010" w:type="dxa"/>
          </w:tcPr>
          <w:p w:rsidR="002773C7" w:rsidRPr="006D7A80" w:rsidRDefault="006D7A80" w:rsidP="006D7A80">
            <w:pPr>
              <w:spacing w:line="360" w:lineRule="auto"/>
              <w:rPr>
                <w:rFonts w:asciiTheme="majorHAnsi" w:hAnsiTheme="majorHAnsi"/>
                <w:sz w:val="24"/>
                <w:szCs w:val="24"/>
              </w:rPr>
            </w:pPr>
            <w:r w:rsidRPr="006D7A80">
              <w:rPr>
                <w:rFonts w:asciiTheme="majorHAnsi" w:hAnsiTheme="majorHAnsi"/>
                <w:sz w:val="24"/>
                <w:szCs w:val="24"/>
              </w:rPr>
              <w:t>Record management practices</w:t>
            </w:r>
          </w:p>
        </w:tc>
      </w:tr>
    </w:tbl>
    <w:p w:rsidR="002773C7" w:rsidRPr="006D7A80" w:rsidRDefault="002773C7" w:rsidP="006D7A80">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188"/>
      </w:tblGrid>
      <w:tr w:rsidR="00B3215C" w:rsidRPr="00B3215C" w:rsidTr="00990203">
        <w:trPr>
          <w:trHeight w:val="323"/>
        </w:trPr>
        <w:tc>
          <w:tcPr>
            <w:tcW w:w="1188" w:type="dxa"/>
            <w:shd w:val="clear" w:color="auto" w:fill="9CC2E5" w:themeFill="accent1" w:themeFillTint="99"/>
          </w:tcPr>
          <w:p w:rsidR="00B3215C" w:rsidRPr="00B3215C" w:rsidRDefault="00B3215C" w:rsidP="00B3215C">
            <w:pPr>
              <w:spacing w:line="360" w:lineRule="auto"/>
              <w:rPr>
                <w:rFonts w:ascii="Calibri Light" w:eastAsia="Calibri" w:hAnsi="Calibri Light" w:cs="Times New Roman"/>
                <w:b/>
                <w:sz w:val="24"/>
                <w:szCs w:val="24"/>
              </w:rPr>
            </w:pPr>
            <w:r w:rsidRPr="00B3215C">
              <w:rPr>
                <w:rFonts w:ascii="Calibri Light" w:eastAsia="Calibri" w:hAnsi="Calibri Light" w:cs="Times New Roman"/>
                <w:b/>
                <w:sz w:val="24"/>
                <w:szCs w:val="24"/>
              </w:rPr>
              <w:t>ACTIVITY</w:t>
            </w:r>
          </w:p>
        </w:tc>
      </w:tr>
      <w:tr w:rsidR="00B3215C" w:rsidRPr="00B3215C" w:rsidTr="00990203">
        <w:trPr>
          <w:trHeight w:val="323"/>
        </w:trPr>
        <w:tc>
          <w:tcPr>
            <w:tcW w:w="1188" w:type="dxa"/>
          </w:tcPr>
          <w:p w:rsidR="00B3215C" w:rsidRPr="00B3215C" w:rsidRDefault="00D21922" w:rsidP="00B3215C">
            <w:pPr>
              <w:spacing w:line="360" w:lineRule="auto"/>
              <w:rPr>
                <w:rFonts w:ascii="Calibri Light" w:eastAsia="Calibri" w:hAnsi="Calibri Light" w:cs="Times New Roman"/>
                <w:sz w:val="24"/>
                <w:szCs w:val="24"/>
              </w:rPr>
            </w:pPr>
            <w:r>
              <w:rPr>
                <w:rFonts w:ascii="Calibri Light" w:eastAsia="Calibri" w:hAnsi="Calibri Light" w:cs="Times New Roman"/>
                <w:sz w:val="24"/>
                <w:szCs w:val="24"/>
              </w:rPr>
              <w:t>5</w:t>
            </w:r>
          </w:p>
        </w:tc>
      </w:tr>
    </w:tbl>
    <w:p w:rsidR="00D21922" w:rsidRPr="00D21922" w:rsidRDefault="00D21922" w:rsidP="00D21922">
      <w:pPr>
        <w:spacing w:line="360" w:lineRule="auto"/>
        <w:rPr>
          <w:rFonts w:asciiTheme="majorHAnsi" w:hAnsiTheme="majorHAnsi"/>
          <w:b/>
          <w:sz w:val="24"/>
          <w:szCs w:val="24"/>
        </w:rPr>
      </w:pPr>
      <w:r w:rsidRPr="00D21922">
        <w:rPr>
          <w:rFonts w:asciiTheme="majorHAnsi" w:hAnsiTheme="majorHAnsi"/>
          <w:b/>
          <w:sz w:val="24"/>
          <w:szCs w:val="24"/>
        </w:rPr>
        <w:t>What is management of assessment?</w:t>
      </w:r>
    </w:p>
    <w:p w:rsidR="00D21922" w:rsidRPr="00D21922" w:rsidRDefault="00D21922" w:rsidP="00D21922">
      <w:pPr>
        <w:spacing w:line="360" w:lineRule="auto"/>
        <w:rPr>
          <w:rFonts w:asciiTheme="majorHAnsi" w:hAnsiTheme="majorHAnsi"/>
          <w:color w:val="FF0000"/>
          <w:sz w:val="24"/>
          <w:szCs w:val="24"/>
        </w:rPr>
      </w:pPr>
      <w:r w:rsidRPr="00D21922">
        <w:rPr>
          <w:rFonts w:asciiTheme="majorHAnsi" w:hAnsiTheme="majorHAnsi"/>
          <w:color w:val="FF0000"/>
          <w:sz w:val="24"/>
          <w:szCs w:val="24"/>
        </w:rPr>
        <w:t xml:space="preserve">In the Construction Education and Training Authority, the Education and Training Providers are responsible for the management of assessment processes being conducted by assessors registered to assess unit standards and/or qualifications within the primary focus of </w:t>
      </w:r>
      <w:r w:rsidRPr="00D21922">
        <w:rPr>
          <w:rFonts w:asciiTheme="majorHAnsi" w:hAnsiTheme="majorHAnsi"/>
          <w:color w:val="FF0000"/>
          <w:sz w:val="24"/>
          <w:szCs w:val="24"/>
        </w:rPr>
        <w:t>Catamite</w:t>
      </w:r>
      <w:r w:rsidRPr="00D21922">
        <w:rPr>
          <w:rFonts w:asciiTheme="majorHAnsi" w:hAnsiTheme="majorHAnsi"/>
          <w:color w:val="FF0000"/>
          <w:sz w:val="24"/>
          <w:szCs w:val="24"/>
        </w:rPr>
        <w:t xml:space="preserve"> is important that Education and Training Providers to have high quality assessment practices to ensure that the success and credibility of the outcome-based education and training system.</w:t>
      </w:r>
    </w:p>
    <w:p w:rsidR="00D21922" w:rsidRPr="00D21922" w:rsidRDefault="00D21922" w:rsidP="00D21922">
      <w:pPr>
        <w:spacing w:line="360" w:lineRule="auto"/>
        <w:rPr>
          <w:rFonts w:asciiTheme="majorHAnsi" w:hAnsiTheme="majorHAnsi"/>
          <w:color w:val="FF0000"/>
          <w:sz w:val="24"/>
          <w:szCs w:val="24"/>
        </w:rPr>
      </w:pPr>
      <w:r w:rsidRPr="00D21922">
        <w:rPr>
          <w:rFonts w:asciiTheme="majorHAnsi" w:hAnsiTheme="majorHAnsi"/>
          <w:color w:val="FF0000"/>
          <w:sz w:val="24"/>
          <w:szCs w:val="24"/>
        </w:rPr>
        <w:t xml:space="preserve">Assessment events are designed at the element level as a minimum square </w:t>
      </w:r>
      <w:r w:rsidRPr="00D21922">
        <w:rPr>
          <w:rFonts w:asciiTheme="majorHAnsi" w:hAnsiTheme="majorHAnsi"/>
          <w:color w:val="FF0000"/>
          <w:sz w:val="24"/>
          <w:szCs w:val="24"/>
        </w:rPr>
        <w:t>Bullet lite</w:t>
      </w:r>
      <w:r w:rsidRPr="00D21922">
        <w:rPr>
          <w:rFonts w:asciiTheme="majorHAnsi" w:hAnsiTheme="majorHAnsi"/>
          <w:color w:val="FF0000"/>
          <w:sz w:val="24"/>
          <w:szCs w:val="24"/>
        </w:rPr>
        <w:tab/>
      </w:r>
    </w:p>
    <w:p w:rsidR="00D21922" w:rsidRPr="00D21922" w:rsidRDefault="00D21922" w:rsidP="00D21922">
      <w:pPr>
        <w:spacing w:line="360" w:lineRule="auto"/>
        <w:rPr>
          <w:rFonts w:asciiTheme="majorHAnsi" w:hAnsiTheme="majorHAnsi"/>
          <w:color w:val="FF0000"/>
          <w:sz w:val="24"/>
          <w:szCs w:val="24"/>
        </w:rPr>
      </w:pPr>
      <w:r w:rsidRPr="00D21922">
        <w:rPr>
          <w:rFonts w:asciiTheme="majorHAnsi" w:hAnsiTheme="majorHAnsi"/>
          <w:color w:val="FF0000"/>
          <w:sz w:val="24"/>
          <w:szCs w:val="24"/>
        </w:rPr>
        <w:t xml:space="preserve">Assessors has considered all matters contained in performance criteria in the unit </w:t>
      </w:r>
    </w:p>
    <w:p w:rsidR="00D21922" w:rsidRPr="00D21922" w:rsidRDefault="00D21922" w:rsidP="00D21922">
      <w:pPr>
        <w:spacing w:line="360" w:lineRule="auto"/>
        <w:rPr>
          <w:rFonts w:asciiTheme="majorHAnsi" w:hAnsiTheme="majorHAnsi"/>
          <w:color w:val="FF0000"/>
          <w:sz w:val="24"/>
          <w:szCs w:val="24"/>
        </w:rPr>
      </w:pPr>
      <w:r w:rsidRPr="00D21922">
        <w:rPr>
          <w:rFonts w:asciiTheme="majorHAnsi" w:hAnsiTheme="majorHAnsi"/>
          <w:color w:val="FF0000"/>
          <w:sz w:val="24"/>
          <w:szCs w:val="24"/>
        </w:rPr>
        <w:t xml:space="preserve">Assessment use the least amount of evidence that is needed for the assessor to make a valid professional </w:t>
      </w:r>
      <w:r w:rsidRPr="00D21922">
        <w:rPr>
          <w:rFonts w:asciiTheme="majorHAnsi" w:hAnsiTheme="majorHAnsi"/>
          <w:color w:val="FF0000"/>
          <w:sz w:val="24"/>
          <w:szCs w:val="24"/>
        </w:rPr>
        <w:t>judgment</w:t>
      </w:r>
      <w:r w:rsidRPr="00D21922">
        <w:rPr>
          <w:rFonts w:asciiTheme="majorHAnsi" w:hAnsiTheme="majorHAnsi"/>
          <w:color w:val="FF0000"/>
          <w:sz w:val="24"/>
          <w:szCs w:val="24"/>
        </w:rPr>
        <w:t xml:space="preserve"> that competency has been achieved</w:t>
      </w:r>
    </w:p>
    <w:p w:rsidR="00D21922" w:rsidRPr="00D21922" w:rsidRDefault="00D21922" w:rsidP="00D21922">
      <w:pPr>
        <w:spacing w:line="360" w:lineRule="auto"/>
        <w:rPr>
          <w:rFonts w:asciiTheme="majorHAnsi" w:hAnsiTheme="majorHAnsi"/>
          <w:color w:val="FF0000"/>
          <w:sz w:val="24"/>
          <w:szCs w:val="24"/>
        </w:rPr>
      </w:pPr>
      <w:r w:rsidRPr="00D21922">
        <w:rPr>
          <w:rFonts w:asciiTheme="majorHAnsi" w:hAnsiTheme="majorHAnsi"/>
          <w:color w:val="FF0000"/>
          <w:sz w:val="24"/>
          <w:szCs w:val="24"/>
        </w:rPr>
        <w:t>Document storage is a vital part of effective document management. As a thriving business you can’t afford to misplace or lose essential documentation. By law, publicly traded companies are required to retain records over a specified period of time and without a document archiving system in place paperwork can become overwhelming and uncontrollable.</w:t>
      </w:r>
    </w:p>
    <w:p w:rsidR="002773C7" w:rsidRDefault="002773C7" w:rsidP="006D7A80">
      <w:pPr>
        <w:spacing w:line="360" w:lineRule="auto"/>
        <w:rPr>
          <w:rFonts w:asciiTheme="majorHAnsi" w:hAnsiTheme="majorHAnsi"/>
          <w:sz w:val="24"/>
          <w:szCs w:val="24"/>
        </w:rPr>
      </w:pPr>
      <w:bookmarkStart w:id="2" w:name="_GoBack"/>
      <w:bookmarkEnd w:id="2"/>
    </w:p>
    <w:p w:rsidR="00B3215C" w:rsidRDefault="00B3215C" w:rsidP="006D7A80">
      <w:pPr>
        <w:spacing w:line="360" w:lineRule="auto"/>
        <w:rPr>
          <w:rFonts w:asciiTheme="majorHAnsi" w:hAnsiTheme="majorHAnsi"/>
          <w:sz w:val="24"/>
          <w:szCs w:val="24"/>
        </w:rPr>
      </w:pPr>
    </w:p>
    <w:p w:rsidR="00B3215C" w:rsidRPr="006D7A80" w:rsidRDefault="00B3215C" w:rsidP="006D7A80">
      <w:pPr>
        <w:spacing w:line="360" w:lineRule="auto"/>
        <w:rPr>
          <w:rFonts w:asciiTheme="majorHAnsi" w:hAnsiTheme="majorHAnsi"/>
          <w:sz w:val="24"/>
          <w:szCs w:val="24"/>
        </w:rPr>
      </w:pPr>
    </w:p>
    <w:p w:rsidR="00134A8E" w:rsidRPr="006D7A80" w:rsidRDefault="00134A8E" w:rsidP="006D7A80">
      <w:pPr>
        <w:tabs>
          <w:tab w:val="left" w:pos="5387"/>
        </w:tabs>
        <w:spacing w:after="0" w:line="360" w:lineRule="auto"/>
        <w:rPr>
          <w:rFonts w:asciiTheme="majorHAnsi" w:eastAsia="Times New Roman" w:hAnsiTheme="majorHAnsi" w:cs="Times New Roman"/>
          <w:b/>
          <w:sz w:val="24"/>
          <w:szCs w:val="24"/>
        </w:rPr>
      </w:pPr>
    </w:p>
    <w:sectPr w:rsidR="00134A8E" w:rsidRPr="006D7A80" w:rsidSect="0066656D">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568" w:rsidRDefault="00250568" w:rsidP="00447F5D">
      <w:pPr>
        <w:spacing w:after="0" w:line="240" w:lineRule="auto"/>
      </w:pPr>
      <w:r>
        <w:separator/>
      </w:r>
    </w:p>
  </w:endnote>
  <w:endnote w:type="continuationSeparator" w:id="0">
    <w:p w:rsidR="00250568" w:rsidRDefault="0025056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5296336"/>
      <w:docPartObj>
        <w:docPartGallery w:val="Page Numbers (Bottom of Page)"/>
        <w:docPartUnique/>
      </w:docPartObj>
    </w:sdtPr>
    <w:sdtEndPr>
      <w:rPr>
        <w:noProof/>
      </w:rPr>
    </w:sdtEndPr>
    <w:sdtContent>
      <w:p w:rsidR="00447F5D" w:rsidRDefault="00447F5D">
        <w:pPr>
          <w:pStyle w:val="Footer"/>
          <w:jc w:val="right"/>
        </w:pPr>
        <w:r>
          <w:fldChar w:fldCharType="begin"/>
        </w:r>
        <w:r>
          <w:instrText xml:space="preserve"> PAGE   \* MERGEFORMAT </w:instrText>
        </w:r>
        <w:r>
          <w:fldChar w:fldCharType="separate"/>
        </w:r>
        <w:r w:rsidR="00D21922">
          <w:rPr>
            <w:noProof/>
          </w:rPr>
          <w:t>13</w:t>
        </w:r>
        <w:r>
          <w:rPr>
            <w:noProof/>
          </w:rPr>
          <w:fldChar w:fldCharType="end"/>
        </w:r>
      </w:p>
    </w:sdtContent>
  </w:sdt>
  <w:p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568" w:rsidRDefault="00250568" w:rsidP="00447F5D">
      <w:pPr>
        <w:spacing w:after="0" w:line="240" w:lineRule="auto"/>
      </w:pPr>
      <w:r>
        <w:separator/>
      </w:r>
    </w:p>
  </w:footnote>
  <w:footnote w:type="continuationSeparator" w:id="0">
    <w:p w:rsidR="00250568" w:rsidRDefault="00250568"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84628"/>
    <w:multiLevelType w:val="hybridMultilevel"/>
    <w:tmpl w:val="832EDE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982AF7"/>
    <w:multiLevelType w:val="hybridMultilevel"/>
    <w:tmpl w:val="1AB4F4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80224B"/>
    <w:multiLevelType w:val="hybridMultilevel"/>
    <w:tmpl w:val="8E84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CE4087"/>
    <w:multiLevelType w:val="hybridMultilevel"/>
    <w:tmpl w:val="540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AB66B3"/>
    <w:multiLevelType w:val="hybridMultilevel"/>
    <w:tmpl w:val="463E05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C109AD"/>
    <w:multiLevelType w:val="hybridMultilevel"/>
    <w:tmpl w:val="C6EE52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60483E"/>
    <w:multiLevelType w:val="hybridMultilevel"/>
    <w:tmpl w:val="5DA4B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EC434C"/>
    <w:multiLevelType w:val="hybridMultilevel"/>
    <w:tmpl w:val="0F4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E33B29"/>
    <w:multiLevelType w:val="hybridMultilevel"/>
    <w:tmpl w:val="A4DAAC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4"/>
  </w:num>
  <w:num w:numId="5">
    <w:abstractNumId w:val="8"/>
  </w:num>
  <w:num w:numId="6">
    <w:abstractNumId w:val="2"/>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250568"/>
    <w:rsid w:val="002773C7"/>
    <w:rsid w:val="00307AFD"/>
    <w:rsid w:val="003E1A30"/>
    <w:rsid w:val="00447F5D"/>
    <w:rsid w:val="004B4B82"/>
    <w:rsid w:val="0066656D"/>
    <w:rsid w:val="006D0792"/>
    <w:rsid w:val="006D7A80"/>
    <w:rsid w:val="00882096"/>
    <w:rsid w:val="008E72CE"/>
    <w:rsid w:val="00A01BA1"/>
    <w:rsid w:val="00AE272F"/>
    <w:rsid w:val="00B3215C"/>
    <w:rsid w:val="00B86148"/>
    <w:rsid w:val="00D21922"/>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0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B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0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B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1920</Words>
  <Characters>10947</Characters>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2018-06-27T20:19:00Z</dcterms:modified>
</cp:coreProperties>
</file>