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AE0874" w:rsidRPr="00AE0874" w:rsidRDefault="00D301D4" w:rsidP="00AE0874">
      <w:pPr>
        <w:spacing w:line="360" w:lineRule="auto"/>
        <w:jc w:val="center"/>
        <w:rPr>
          <w:rFonts w:ascii="Century Gothic" w:hAnsi="Century Gothic"/>
          <w:b/>
          <w:sz w:val="40"/>
          <w:szCs w:val="40"/>
          <w:lang w:val="en-US"/>
        </w:rPr>
      </w:pPr>
      <w:r w:rsidRPr="00D301D4">
        <w:rPr>
          <w:rFonts w:ascii="Century Gothic" w:hAnsi="Century Gothic"/>
          <w:b/>
          <w:sz w:val="40"/>
          <w:szCs w:val="40"/>
          <w:lang w:val="en-US"/>
        </w:rPr>
        <w:t>ADMINISTRATION FOR EARLY CHILDHOOD DEVELOPMENT SERVICES AND PROGRAMMES</w:t>
      </w:r>
    </w:p>
    <w:p w:rsidR="00EE534B" w:rsidRPr="00EE534B" w:rsidRDefault="00EE534B" w:rsidP="00EE534B">
      <w:pPr>
        <w:jc w:val="center"/>
        <w:rPr>
          <w:rFonts w:ascii="Century Gothic" w:hAnsi="Century Gothic"/>
          <w:b/>
          <w:sz w:val="40"/>
          <w:szCs w:val="40"/>
          <w:lang w:val="en-US"/>
        </w:rPr>
      </w:pPr>
    </w:p>
    <w:p w:rsidR="00EE534B" w:rsidRPr="00EE534B" w:rsidRDefault="00EE534B" w:rsidP="00D301D4">
      <w:pPr>
        <w:spacing w:line="360" w:lineRule="auto"/>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D301D4" w:rsidRPr="002C6533" w:rsidRDefault="00D301D4" w:rsidP="00D301D4">
            <w:pPr>
              <w:spacing w:line="276" w:lineRule="auto"/>
              <w:rPr>
                <w:rFonts w:ascii="Century Gothic" w:hAnsi="Century Gothic"/>
                <w:lang w:val="en-US"/>
              </w:rPr>
            </w:pPr>
            <w:r>
              <w:rPr>
                <w:rFonts w:ascii="Century Gothic" w:hAnsi="Century Gothic"/>
                <w:lang w:val="en-US"/>
              </w:rPr>
              <w:t>234201000-KM-07</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D301D4" w:rsidRPr="002C6533" w:rsidRDefault="00D301D4" w:rsidP="00D301D4">
            <w:pPr>
              <w:spacing w:line="276" w:lineRule="auto"/>
              <w:rPr>
                <w:rFonts w:ascii="Century Gothic" w:hAnsi="Century Gothic"/>
                <w:lang w:val="en-US"/>
              </w:rPr>
            </w:pPr>
            <w:r>
              <w:rPr>
                <w:rFonts w:ascii="Century Gothic" w:hAnsi="Century Gothic"/>
                <w:lang w:val="en-US"/>
              </w:rPr>
              <w:t>level 3</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D301D4" w:rsidRPr="002C6533" w:rsidRDefault="00D301D4" w:rsidP="00D301D4">
            <w:pPr>
              <w:spacing w:line="276" w:lineRule="auto"/>
              <w:rPr>
                <w:rFonts w:ascii="Century Gothic" w:hAnsi="Century Gothic"/>
                <w:lang w:val="en-US"/>
              </w:rPr>
            </w:pPr>
            <w:r>
              <w:rPr>
                <w:rFonts w:ascii="Century Gothic" w:hAnsi="Century Gothic"/>
                <w:lang w:val="en-US"/>
              </w:rPr>
              <w:t>3</w:t>
            </w:r>
            <w:r w:rsidRPr="002C6533">
              <w:rPr>
                <w:rFonts w:ascii="Century Gothic" w:hAnsi="Century Gothic"/>
                <w:lang w:val="en-US"/>
              </w:rPr>
              <w:t>0</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D301D4" w:rsidRPr="002C6533" w:rsidRDefault="00D301D4" w:rsidP="00D301D4">
            <w:pPr>
              <w:spacing w:line="276" w:lineRule="auto"/>
              <w:rPr>
                <w:rFonts w:ascii="Century Gothic" w:hAnsi="Century Gothic"/>
                <w:lang w:val="en-US"/>
              </w:rPr>
            </w:pPr>
            <w:r>
              <w:rPr>
                <w:rFonts w:ascii="Century Gothic" w:hAnsi="Century Gothic"/>
                <w:lang w:val="en-US"/>
              </w:rPr>
              <w:t>Cr 3</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D301D4" w:rsidRPr="002C6533" w:rsidRDefault="00D301D4" w:rsidP="00D301D4">
            <w:pPr>
              <w:spacing w:line="276" w:lineRule="auto"/>
              <w:rPr>
                <w:rFonts w:ascii="Century Gothic" w:hAnsi="Century Gothic"/>
                <w:lang w:val="en-US"/>
              </w:rPr>
            </w:pPr>
            <w:r w:rsidRPr="00400DFA">
              <w:rPr>
                <w:rFonts w:ascii="Century Gothic" w:hAnsi="Century Gothic"/>
                <w:lang w:val="en-US"/>
              </w:rPr>
              <w:t>234201000</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D301D4" w:rsidRPr="002C6533" w:rsidRDefault="00D301D4" w:rsidP="00D301D4">
            <w:pPr>
              <w:spacing w:line="276" w:lineRule="auto"/>
              <w:rPr>
                <w:rFonts w:ascii="Century Gothic" w:hAnsi="Century Gothic"/>
                <w:lang w:val="en-US"/>
              </w:rPr>
            </w:pPr>
            <w:r w:rsidRPr="00292706">
              <w:rPr>
                <w:rFonts w:ascii="Century Gothic" w:hAnsi="Century Gothic"/>
                <w:lang w:val="en-US"/>
              </w:rPr>
              <w:t>97542</w:t>
            </w:r>
          </w:p>
        </w:tc>
      </w:tr>
      <w:tr w:rsidR="00D301D4" w:rsidRPr="00AE0874" w:rsidTr="00AE0874">
        <w:tc>
          <w:tcPr>
            <w:tcW w:w="1286" w:type="pct"/>
            <w:shd w:val="clear" w:color="auto" w:fill="CCCCCC"/>
          </w:tcPr>
          <w:p w:rsidR="00D301D4" w:rsidRPr="002C6533" w:rsidRDefault="00D301D4" w:rsidP="00D301D4">
            <w:pPr>
              <w:spacing w:line="276" w:lineRule="auto"/>
              <w:rPr>
                <w:rFonts w:ascii="Century Gothic" w:hAnsi="Century Gothic"/>
                <w:b/>
              </w:rPr>
            </w:pPr>
            <w:r w:rsidRPr="002C6533">
              <w:rPr>
                <w:rFonts w:ascii="Century Gothic" w:hAnsi="Century Gothic"/>
                <w:b/>
              </w:rPr>
              <w:t>Qualification Title</w:t>
            </w:r>
          </w:p>
        </w:tc>
        <w:tc>
          <w:tcPr>
            <w:tcW w:w="3714" w:type="pct"/>
          </w:tcPr>
          <w:p w:rsidR="00D301D4" w:rsidRPr="002C6533" w:rsidRDefault="00D301D4" w:rsidP="00D301D4">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lastRenderedPageBreak/>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p w:rsidR="007C2DCB"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778009" w:history="1">
            <w:r w:rsidR="007C2DCB" w:rsidRPr="006C537F">
              <w:rPr>
                <w:rStyle w:val="Hyperlink"/>
                <w:rFonts w:ascii="Century Gothic" w:hAnsi="Century Gothic"/>
                <w:noProof/>
              </w:rPr>
              <w:t>1.1 INSTRUCTIONS TO THE ASSESSOR</w:t>
            </w:r>
            <w:r w:rsidR="007C2DCB">
              <w:rPr>
                <w:noProof/>
                <w:webHidden/>
              </w:rPr>
              <w:tab/>
            </w:r>
            <w:r w:rsidR="007C2DCB">
              <w:rPr>
                <w:noProof/>
                <w:webHidden/>
              </w:rPr>
              <w:fldChar w:fldCharType="begin"/>
            </w:r>
            <w:r w:rsidR="007C2DCB">
              <w:rPr>
                <w:noProof/>
                <w:webHidden/>
              </w:rPr>
              <w:instrText xml:space="preserve"> PAGEREF _Toc497778009 \h </w:instrText>
            </w:r>
            <w:r w:rsidR="007C2DCB">
              <w:rPr>
                <w:noProof/>
                <w:webHidden/>
              </w:rPr>
            </w:r>
            <w:r w:rsidR="007C2DCB">
              <w:rPr>
                <w:noProof/>
                <w:webHidden/>
              </w:rPr>
              <w:fldChar w:fldCharType="separate"/>
            </w:r>
            <w:r w:rsidR="007C2DCB">
              <w:rPr>
                <w:noProof/>
                <w:webHidden/>
              </w:rPr>
              <w:t>4</w:t>
            </w:r>
            <w:r w:rsidR="007C2DCB">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0" w:history="1">
            <w:r w:rsidRPr="006C537F">
              <w:rPr>
                <w:rStyle w:val="Hyperlink"/>
                <w:rFonts w:ascii="Century Gothic" w:hAnsi="Century Gothic"/>
                <w:noProof/>
              </w:rPr>
              <w:t>1.2 GENERIC GUIDELINES</w:t>
            </w:r>
            <w:r>
              <w:rPr>
                <w:noProof/>
                <w:webHidden/>
              </w:rPr>
              <w:tab/>
            </w:r>
            <w:r>
              <w:rPr>
                <w:noProof/>
                <w:webHidden/>
              </w:rPr>
              <w:fldChar w:fldCharType="begin"/>
            </w:r>
            <w:r>
              <w:rPr>
                <w:noProof/>
                <w:webHidden/>
              </w:rPr>
              <w:instrText xml:space="preserve"> PAGEREF _Toc497778010 \h </w:instrText>
            </w:r>
            <w:r>
              <w:rPr>
                <w:noProof/>
                <w:webHidden/>
              </w:rPr>
            </w:r>
            <w:r>
              <w:rPr>
                <w:noProof/>
                <w:webHidden/>
              </w:rPr>
              <w:fldChar w:fldCharType="separate"/>
            </w:r>
            <w:r>
              <w:rPr>
                <w:noProof/>
                <w:webHidden/>
              </w:rPr>
              <w:t>5</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1" w:history="1">
            <w:r w:rsidRPr="006C537F">
              <w:rPr>
                <w:rStyle w:val="Hyperlink"/>
                <w:rFonts w:ascii="Century Gothic" w:hAnsi="Century Gothic"/>
                <w:noProof/>
              </w:rPr>
              <w:t>1.3 ASSESSMENT STRATEGY</w:t>
            </w:r>
            <w:r>
              <w:rPr>
                <w:noProof/>
                <w:webHidden/>
              </w:rPr>
              <w:tab/>
            </w:r>
            <w:r>
              <w:rPr>
                <w:noProof/>
                <w:webHidden/>
              </w:rPr>
              <w:fldChar w:fldCharType="begin"/>
            </w:r>
            <w:r>
              <w:rPr>
                <w:noProof/>
                <w:webHidden/>
              </w:rPr>
              <w:instrText xml:space="preserve"> PAGEREF _Toc497778011 \h </w:instrText>
            </w:r>
            <w:r>
              <w:rPr>
                <w:noProof/>
                <w:webHidden/>
              </w:rPr>
            </w:r>
            <w:r>
              <w:rPr>
                <w:noProof/>
                <w:webHidden/>
              </w:rPr>
              <w:fldChar w:fldCharType="separate"/>
            </w:r>
            <w:r>
              <w:rPr>
                <w:noProof/>
                <w:webHidden/>
              </w:rPr>
              <w:t>8</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2" w:history="1">
            <w:r w:rsidRPr="006C537F">
              <w:rPr>
                <w:rStyle w:val="Hyperlink"/>
                <w:rFonts w:ascii="Century Gothic" w:hAnsi="Century Gothic"/>
                <w:noProof/>
              </w:rPr>
              <w:t>1.4 CANDIDATE ASSESSMENT PREPAR</w:t>
            </w:r>
            <w:bookmarkStart w:id="0" w:name="_GoBack"/>
            <w:bookmarkEnd w:id="0"/>
            <w:r w:rsidRPr="006C537F">
              <w:rPr>
                <w:rStyle w:val="Hyperlink"/>
                <w:rFonts w:ascii="Century Gothic" w:hAnsi="Century Gothic"/>
                <w:noProof/>
              </w:rPr>
              <w:t>ATION</w:t>
            </w:r>
            <w:r>
              <w:rPr>
                <w:noProof/>
                <w:webHidden/>
              </w:rPr>
              <w:tab/>
            </w:r>
            <w:r>
              <w:rPr>
                <w:noProof/>
                <w:webHidden/>
              </w:rPr>
              <w:fldChar w:fldCharType="begin"/>
            </w:r>
            <w:r>
              <w:rPr>
                <w:noProof/>
                <w:webHidden/>
              </w:rPr>
              <w:instrText xml:space="preserve"> PAGEREF _Toc497778012 \h </w:instrText>
            </w:r>
            <w:r>
              <w:rPr>
                <w:noProof/>
                <w:webHidden/>
              </w:rPr>
            </w:r>
            <w:r>
              <w:rPr>
                <w:noProof/>
                <w:webHidden/>
              </w:rPr>
              <w:fldChar w:fldCharType="separate"/>
            </w:r>
            <w:r>
              <w:rPr>
                <w:noProof/>
                <w:webHidden/>
              </w:rPr>
              <w:t>10</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3" w:history="1">
            <w:r w:rsidRPr="006C537F">
              <w:rPr>
                <w:rStyle w:val="Hyperlink"/>
                <w:rFonts w:ascii="Century Gothic" w:hAnsi="Century Gothic"/>
                <w:noProof/>
              </w:rPr>
              <w:t>1.5 INFORMING RELEVANT PEOPLE</w:t>
            </w:r>
            <w:r>
              <w:rPr>
                <w:noProof/>
                <w:webHidden/>
              </w:rPr>
              <w:tab/>
            </w:r>
            <w:r>
              <w:rPr>
                <w:noProof/>
                <w:webHidden/>
              </w:rPr>
              <w:fldChar w:fldCharType="begin"/>
            </w:r>
            <w:r>
              <w:rPr>
                <w:noProof/>
                <w:webHidden/>
              </w:rPr>
              <w:instrText xml:space="preserve"> PAGEREF _Toc497778013 \h </w:instrText>
            </w:r>
            <w:r>
              <w:rPr>
                <w:noProof/>
                <w:webHidden/>
              </w:rPr>
            </w:r>
            <w:r>
              <w:rPr>
                <w:noProof/>
                <w:webHidden/>
              </w:rPr>
              <w:fldChar w:fldCharType="separate"/>
            </w:r>
            <w:r>
              <w:rPr>
                <w:noProof/>
                <w:webHidden/>
              </w:rPr>
              <w:t>11</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4" w:history="1">
            <w:r w:rsidRPr="006C537F">
              <w:rPr>
                <w:rStyle w:val="Hyperlink"/>
                <w:rFonts w:ascii="Century Gothic" w:hAnsi="Century Gothic"/>
                <w:noProof/>
              </w:rPr>
              <w:t>Assessor’s declaration:</w:t>
            </w:r>
            <w:r>
              <w:rPr>
                <w:noProof/>
                <w:webHidden/>
              </w:rPr>
              <w:tab/>
            </w:r>
            <w:r>
              <w:rPr>
                <w:noProof/>
                <w:webHidden/>
              </w:rPr>
              <w:fldChar w:fldCharType="begin"/>
            </w:r>
            <w:r>
              <w:rPr>
                <w:noProof/>
                <w:webHidden/>
              </w:rPr>
              <w:instrText xml:space="preserve"> PAGEREF _Toc497778014 \h </w:instrText>
            </w:r>
            <w:r>
              <w:rPr>
                <w:noProof/>
                <w:webHidden/>
              </w:rPr>
            </w:r>
            <w:r>
              <w:rPr>
                <w:noProof/>
                <w:webHidden/>
              </w:rPr>
              <w:fldChar w:fldCharType="separate"/>
            </w:r>
            <w:r>
              <w:rPr>
                <w:noProof/>
                <w:webHidden/>
              </w:rPr>
              <w:t>11</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5" w:history="1">
            <w:r w:rsidRPr="006C537F">
              <w:rPr>
                <w:rStyle w:val="Hyperlink"/>
                <w:rFonts w:ascii="Century Gothic" w:hAnsi="Century Gothic"/>
                <w:noProof/>
              </w:rPr>
              <w:t>1.6 AGREED ASSESSMENT PLAN</w:t>
            </w:r>
            <w:r>
              <w:rPr>
                <w:noProof/>
                <w:webHidden/>
              </w:rPr>
              <w:tab/>
            </w:r>
            <w:r>
              <w:rPr>
                <w:noProof/>
                <w:webHidden/>
              </w:rPr>
              <w:fldChar w:fldCharType="begin"/>
            </w:r>
            <w:r>
              <w:rPr>
                <w:noProof/>
                <w:webHidden/>
              </w:rPr>
              <w:instrText xml:space="preserve"> PAGEREF _Toc497778015 \h </w:instrText>
            </w:r>
            <w:r>
              <w:rPr>
                <w:noProof/>
                <w:webHidden/>
              </w:rPr>
            </w:r>
            <w:r>
              <w:rPr>
                <w:noProof/>
                <w:webHidden/>
              </w:rPr>
              <w:fldChar w:fldCharType="separate"/>
            </w:r>
            <w:r>
              <w:rPr>
                <w:noProof/>
                <w:webHidden/>
              </w:rPr>
              <w:t>12</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6" w:history="1">
            <w:r w:rsidRPr="006C537F">
              <w:rPr>
                <w:rStyle w:val="Hyperlink"/>
                <w:rFonts w:ascii="Century Gothic" w:hAnsi="Century Gothic"/>
                <w:noProof/>
              </w:rPr>
              <w:t>1.7 COMPETENCE JUDGEMENT</w:t>
            </w:r>
            <w:r>
              <w:rPr>
                <w:noProof/>
                <w:webHidden/>
              </w:rPr>
              <w:tab/>
            </w:r>
            <w:r>
              <w:rPr>
                <w:noProof/>
                <w:webHidden/>
              </w:rPr>
              <w:fldChar w:fldCharType="begin"/>
            </w:r>
            <w:r>
              <w:rPr>
                <w:noProof/>
                <w:webHidden/>
              </w:rPr>
              <w:instrText xml:space="preserve"> PAGEREF _Toc497778016 \h </w:instrText>
            </w:r>
            <w:r>
              <w:rPr>
                <w:noProof/>
                <w:webHidden/>
              </w:rPr>
            </w:r>
            <w:r>
              <w:rPr>
                <w:noProof/>
                <w:webHidden/>
              </w:rPr>
              <w:fldChar w:fldCharType="separate"/>
            </w:r>
            <w:r>
              <w:rPr>
                <w:noProof/>
                <w:webHidden/>
              </w:rPr>
              <w:t>15</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7" w:history="1">
            <w:r w:rsidRPr="006C537F">
              <w:rPr>
                <w:rStyle w:val="Hyperlink"/>
                <w:rFonts w:ascii="Century Gothic" w:hAnsi="Century Gothic"/>
                <w:noProof/>
              </w:rPr>
              <w:t>1.8 EVIDENCE RECORD</w:t>
            </w:r>
            <w:r>
              <w:rPr>
                <w:noProof/>
                <w:webHidden/>
              </w:rPr>
              <w:tab/>
            </w:r>
            <w:r>
              <w:rPr>
                <w:noProof/>
                <w:webHidden/>
              </w:rPr>
              <w:fldChar w:fldCharType="begin"/>
            </w:r>
            <w:r>
              <w:rPr>
                <w:noProof/>
                <w:webHidden/>
              </w:rPr>
              <w:instrText xml:space="preserve"> PAGEREF _Toc497778017 \h </w:instrText>
            </w:r>
            <w:r>
              <w:rPr>
                <w:noProof/>
                <w:webHidden/>
              </w:rPr>
            </w:r>
            <w:r>
              <w:rPr>
                <w:noProof/>
                <w:webHidden/>
              </w:rPr>
              <w:fldChar w:fldCharType="separate"/>
            </w:r>
            <w:r>
              <w:rPr>
                <w:noProof/>
                <w:webHidden/>
              </w:rPr>
              <w:t>17</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8" w:history="1">
            <w:r w:rsidRPr="006C537F">
              <w:rPr>
                <w:rStyle w:val="Hyperlink"/>
                <w:rFonts w:ascii="Century Gothic" w:hAnsi="Century Gothic"/>
                <w:noProof/>
              </w:rPr>
              <w:t>2.0  FEEDBACK</w:t>
            </w:r>
            <w:r>
              <w:rPr>
                <w:noProof/>
                <w:webHidden/>
              </w:rPr>
              <w:tab/>
            </w:r>
            <w:r>
              <w:rPr>
                <w:noProof/>
                <w:webHidden/>
              </w:rPr>
              <w:fldChar w:fldCharType="begin"/>
            </w:r>
            <w:r>
              <w:rPr>
                <w:noProof/>
                <w:webHidden/>
              </w:rPr>
              <w:instrText xml:space="preserve"> PAGEREF _Toc497778018 \h </w:instrText>
            </w:r>
            <w:r>
              <w:rPr>
                <w:noProof/>
                <w:webHidden/>
              </w:rPr>
            </w:r>
            <w:r>
              <w:rPr>
                <w:noProof/>
                <w:webHidden/>
              </w:rPr>
              <w:fldChar w:fldCharType="separate"/>
            </w:r>
            <w:r>
              <w:rPr>
                <w:noProof/>
                <w:webHidden/>
              </w:rPr>
              <w:t>19</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19" w:history="1">
            <w:r w:rsidRPr="006C537F">
              <w:rPr>
                <w:rStyle w:val="Hyperlink"/>
                <w:rFonts w:ascii="Century Gothic" w:hAnsi="Century Gothic"/>
                <w:noProof/>
              </w:rPr>
              <w:t>2.1 ASSESSMENT EVALUATION</w:t>
            </w:r>
            <w:r>
              <w:rPr>
                <w:noProof/>
                <w:webHidden/>
              </w:rPr>
              <w:tab/>
            </w:r>
            <w:r>
              <w:rPr>
                <w:noProof/>
                <w:webHidden/>
              </w:rPr>
              <w:fldChar w:fldCharType="begin"/>
            </w:r>
            <w:r>
              <w:rPr>
                <w:noProof/>
                <w:webHidden/>
              </w:rPr>
              <w:instrText xml:space="preserve"> PAGEREF _Toc497778019 \h </w:instrText>
            </w:r>
            <w:r>
              <w:rPr>
                <w:noProof/>
                <w:webHidden/>
              </w:rPr>
            </w:r>
            <w:r>
              <w:rPr>
                <w:noProof/>
                <w:webHidden/>
              </w:rPr>
              <w:fldChar w:fldCharType="separate"/>
            </w:r>
            <w:r>
              <w:rPr>
                <w:noProof/>
                <w:webHidden/>
              </w:rPr>
              <w:t>22</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0" w:history="1">
            <w:r w:rsidRPr="006C537F">
              <w:rPr>
                <w:rStyle w:val="Hyperlink"/>
                <w:rFonts w:ascii="Century Gothic" w:hAnsi="Century Gothic"/>
                <w:noProof/>
                <w:lang w:val="en-ZA"/>
              </w:rPr>
              <w:t>PURPOSE OF THE QUALIFICATION</w:t>
            </w:r>
            <w:r>
              <w:rPr>
                <w:noProof/>
                <w:webHidden/>
              </w:rPr>
              <w:tab/>
            </w:r>
            <w:r>
              <w:rPr>
                <w:noProof/>
                <w:webHidden/>
              </w:rPr>
              <w:fldChar w:fldCharType="begin"/>
            </w:r>
            <w:r>
              <w:rPr>
                <w:noProof/>
                <w:webHidden/>
              </w:rPr>
              <w:instrText xml:space="preserve"> PAGEREF _Toc497778020 \h </w:instrText>
            </w:r>
            <w:r>
              <w:rPr>
                <w:noProof/>
                <w:webHidden/>
              </w:rPr>
            </w:r>
            <w:r>
              <w:rPr>
                <w:noProof/>
                <w:webHidden/>
              </w:rPr>
              <w:fldChar w:fldCharType="separate"/>
            </w:r>
            <w:r>
              <w:rPr>
                <w:noProof/>
                <w:webHidden/>
              </w:rPr>
              <w:t>26</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1" w:history="1">
            <w:r w:rsidRPr="006C537F">
              <w:rPr>
                <w:rStyle w:val="Hyperlink"/>
                <w:rFonts w:ascii="Century Gothic" w:hAnsi="Century Gothic"/>
                <w:noProof/>
                <w:lang w:val="en-ZA"/>
              </w:rPr>
              <w:t>QUALIFICATION RULES</w:t>
            </w:r>
            <w:r>
              <w:rPr>
                <w:noProof/>
                <w:webHidden/>
              </w:rPr>
              <w:tab/>
            </w:r>
            <w:r>
              <w:rPr>
                <w:noProof/>
                <w:webHidden/>
              </w:rPr>
              <w:fldChar w:fldCharType="begin"/>
            </w:r>
            <w:r>
              <w:rPr>
                <w:noProof/>
                <w:webHidden/>
              </w:rPr>
              <w:instrText xml:space="preserve"> PAGEREF _Toc497778021 \h </w:instrText>
            </w:r>
            <w:r>
              <w:rPr>
                <w:noProof/>
                <w:webHidden/>
              </w:rPr>
            </w:r>
            <w:r>
              <w:rPr>
                <w:noProof/>
                <w:webHidden/>
              </w:rPr>
              <w:fldChar w:fldCharType="separate"/>
            </w:r>
            <w:r>
              <w:rPr>
                <w:noProof/>
                <w:webHidden/>
              </w:rPr>
              <w:t>28</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2" w:history="1">
            <w:r w:rsidRPr="006C537F">
              <w:rPr>
                <w:rStyle w:val="Hyperlink"/>
                <w:rFonts w:ascii="Century Gothic" w:hAnsi="Century Gothic"/>
                <w:noProof/>
                <w:lang w:val="en-ZA"/>
              </w:rPr>
              <w:t>EXIT LEVEL OUTCOMES</w:t>
            </w:r>
            <w:r>
              <w:rPr>
                <w:noProof/>
                <w:webHidden/>
              </w:rPr>
              <w:tab/>
            </w:r>
            <w:r>
              <w:rPr>
                <w:noProof/>
                <w:webHidden/>
              </w:rPr>
              <w:fldChar w:fldCharType="begin"/>
            </w:r>
            <w:r>
              <w:rPr>
                <w:noProof/>
                <w:webHidden/>
              </w:rPr>
              <w:instrText xml:space="preserve"> PAGEREF _Toc497778022 \h </w:instrText>
            </w:r>
            <w:r>
              <w:rPr>
                <w:noProof/>
                <w:webHidden/>
              </w:rPr>
            </w:r>
            <w:r>
              <w:rPr>
                <w:noProof/>
                <w:webHidden/>
              </w:rPr>
              <w:fldChar w:fldCharType="separate"/>
            </w:r>
            <w:r>
              <w:rPr>
                <w:noProof/>
                <w:webHidden/>
              </w:rPr>
              <w:t>30</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3" w:history="1">
            <w:r w:rsidRPr="006C537F">
              <w:rPr>
                <w:rStyle w:val="Hyperlink"/>
                <w:rFonts w:ascii="Century Gothic" w:hAnsi="Century Gothic"/>
                <w:noProof/>
                <w:lang w:val="en-ZA"/>
              </w:rPr>
              <w:t>ENTRY REQUIREMENTS:</w:t>
            </w:r>
            <w:r>
              <w:rPr>
                <w:noProof/>
                <w:webHidden/>
              </w:rPr>
              <w:tab/>
            </w:r>
            <w:r>
              <w:rPr>
                <w:noProof/>
                <w:webHidden/>
              </w:rPr>
              <w:fldChar w:fldCharType="begin"/>
            </w:r>
            <w:r>
              <w:rPr>
                <w:noProof/>
                <w:webHidden/>
              </w:rPr>
              <w:instrText xml:space="preserve"> PAGEREF _Toc497778023 \h </w:instrText>
            </w:r>
            <w:r>
              <w:rPr>
                <w:noProof/>
                <w:webHidden/>
              </w:rPr>
            </w:r>
            <w:r>
              <w:rPr>
                <w:noProof/>
                <w:webHidden/>
              </w:rPr>
              <w:fldChar w:fldCharType="separate"/>
            </w:r>
            <w:r>
              <w:rPr>
                <w:noProof/>
                <w:webHidden/>
              </w:rPr>
              <w:t>31</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4" w:history="1">
            <w:r w:rsidRPr="006C537F">
              <w:rPr>
                <w:rStyle w:val="Hyperlink"/>
                <w:rFonts w:ascii="Century Gothic" w:hAnsi="Century Gothic"/>
                <w:noProof/>
                <w:lang w:val="en-ZA"/>
              </w:rPr>
              <w:t>ARTICULATION OPTIONS</w:t>
            </w:r>
            <w:r>
              <w:rPr>
                <w:noProof/>
                <w:webHidden/>
              </w:rPr>
              <w:tab/>
            </w:r>
            <w:r>
              <w:rPr>
                <w:noProof/>
                <w:webHidden/>
              </w:rPr>
              <w:fldChar w:fldCharType="begin"/>
            </w:r>
            <w:r>
              <w:rPr>
                <w:noProof/>
                <w:webHidden/>
              </w:rPr>
              <w:instrText xml:space="preserve"> PAGEREF _Toc497778024 \h </w:instrText>
            </w:r>
            <w:r>
              <w:rPr>
                <w:noProof/>
                <w:webHidden/>
              </w:rPr>
            </w:r>
            <w:r>
              <w:rPr>
                <w:noProof/>
                <w:webHidden/>
              </w:rPr>
              <w:fldChar w:fldCharType="separate"/>
            </w:r>
            <w:r>
              <w:rPr>
                <w:noProof/>
                <w:webHidden/>
              </w:rPr>
              <w:t>32</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5" w:history="1">
            <w:r w:rsidRPr="006C537F">
              <w:rPr>
                <w:rStyle w:val="Hyperlink"/>
                <w:rFonts w:ascii="Century Gothic" w:hAnsi="Century Gothic"/>
                <w:noProof/>
              </w:rPr>
              <w:t>ASSESSMENT REQUIREMENTS</w:t>
            </w:r>
            <w:r>
              <w:rPr>
                <w:noProof/>
                <w:webHidden/>
              </w:rPr>
              <w:tab/>
            </w:r>
            <w:r>
              <w:rPr>
                <w:noProof/>
                <w:webHidden/>
              </w:rPr>
              <w:fldChar w:fldCharType="begin"/>
            </w:r>
            <w:r>
              <w:rPr>
                <w:noProof/>
                <w:webHidden/>
              </w:rPr>
              <w:instrText xml:space="preserve"> PAGEREF _Toc497778025 \h </w:instrText>
            </w:r>
            <w:r>
              <w:rPr>
                <w:noProof/>
                <w:webHidden/>
              </w:rPr>
            </w:r>
            <w:r>
              <w:rPr>
                <w:noProof/>
                <w:webHidden/>
              </w:rPr>
              <w:fldChar w:fldCharType="separate"/>
            </w:r>
            <w:r>
              <w:rPr>
                <w:noProof/>
                <w:webHidden/>
              </w:rPr>
              <w:t>33</w:t>
            </w:r>
            <w:r>
              <w:rPr>
                <w:noProof/>
                <w:webHidden/>
              </w:rPr>
              <w:fldChar w:fldCharType="end"/>
            </w:r>
          </w:hyperlink>
        </w:p>
        <w:p w:rsidR="007C2DCB" w:rsidRDefault="007C2DCB">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8026" w:history="1">
            <w:r w:rsidRPr="006C537F">
              <w:rPr>
                <w:rStyle w:val="Hyperlink"/>
                <w:rFonts w:ascii="Century Gothic" w:hAnsi="Century Gothic"/>
                <w:noProof/>
                <w:lang w:val="en-ZA"/>
              </w:rPr>
              <w:t>PROVIDER ACCREDITATION REQUIREMENTS FOR THE MODULE:</w:t>
            </w:r>
            <w:r>
              <w:rPr>
                <w:noProof/>
                <w:webHidden/>
              </w:rPr>
              <w:tab/>
            </w:r>
            <w:r>
              <w:rPr>
                <w:noProof/>
                <w:webHidden/>
              </w:rPr>
              <w:fldChar w:fldCharType="begin"/>
            </w:r>
            <w:r>
              <w:rPr>
                <w:noProof/>
                <w:webHidden/>
              </w:rPr>
              <w:instrText xml:space="preserve"> PAGEREF _Toc497778026 \h </w:instrText>
            </w:r>
            <w:r>
              <w:rPr>
                <w:noProof/>
                <w:webHidden/>
              </w:rPr>
            </w:r>
            <w:r>
              <w:rPr>
                <w:noProof/>
                <w:webHidden/>
              </w:rPr>
              <w:fldChar w:fldCharType="separate"/>
            </w:r>
            <w:r>
              <w:rPr>
                <w:noProof/>
                <w:webHidden/>
              </w:rPr>
              <w:t>34</w:t>
            </w:r>
            <w:r>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778009"/>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778010"/>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778011"/>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778012"/>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164745695"/>
      <w:bookmarkStart w:id="9" w:name="_Toc497778013"/>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9"/>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778014"/>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778015"/>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8"/>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778016"/>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519928"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778017"/>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519929"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FA7BE6"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778018"/>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778019"/>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5252554"/>
      <w:bookmarkStart w:id="18" w:name="_Toc497778020"/>
      <w:bookmarkEnd w:id="16"/>
      <w:r w:rsidRPr="00A978A3">
        <w:rPr>
          <w:rFonts w:ascii="Century Gothic" w:hAnsi="Century Gothic"/>
          <w:b/>
          <w:bCs/>
          <w:sz w:val="40"/>
          <w:szCs w:val="40"/>
          <w:lang w:val="en-ZA"/>
        </w:rPr>
        <w:lastRenderedPageBreak/>
        <w:t>PURPOSE OF THE QUALIFICATION</w:t>
      </w:r>
      <w:bookmarkEnd w:id="17"/>
      <w:bookmarkEnd w:id="18"/>
    </w:p>
    <w:p w:rsidR="00A978A3" w:rsidRPr="00A978A3" w:rsidRDefault="00A978A3" w:rsidP="00A978A3">
      <w:pPr>
        <w:spacing w:line="360" w:lineRule="auto"/>
        <w:jc w:val="both"/>
        <w:rPr>
          <w:rFonts w:ascii="Century Gothic" w:hAnsi="Century Gothic"/>
          <w:bCs/>
          <w:spacing w:val="2"/>
          <w:sz w:val="22"/>
          <w:szCs w:val="22"/>
          <w:lang w:val="en-ZA" w:eastAsia="en-ZA"/>
        </w:rPr>
      </w:pPr>
      <w:r w:rsidRPr="00A978A3">
        <w:rPr>
          <w:rFonts w:ascii="Century Gothic" w:hAnsi="Century Gothic"/>
          <w:bCs/>
          <w:spacing w:val="2"/>
          <w:sz w:val="22"/>
          <w:szCs w:val="22"/>
          <w:lang w:val="en-ZA" w:eastAsia="en-ZA"/>
        </w:rPr>
        <w:t xml:space="preserve">Purpose: The purpose of this qualification is to prepare a learner to: Join metal products in accordance with Welding Procedure Specifications using an electric arc or gas welding process. </w:t>
      </w:r>
    </w:p>
    <w:p w:rsidR="00A978A3" w:rsidRPr="00A978A3" w:rsidRDefault="00A978A3" w:rsidP="00A978A3">
      <w:pPr>
        <w:spacing w:line="360" w:lineRule="auto"/>
        <w:jc w:val="both"/>
        <w:rPr>
          <w:rFonts w:ascii="Century Gothic" w:hAnsi="Century Gothic"/>
          <w:bCs/>
          <w:spacing w:val="2"/>
          <w:sz w:val="22"/>
          <w:szCs w:val="22"/>
          <w:lang w:val="en-ZA" w:eastAsia="en-ZA"/>
        </w:rPr>
      </w:pPr>
    </w:p>
    <w:p w:rsidR="00A978A3" w:rsidRPr="00A978A3" w:rsidRDefault="00A978A3" w:rsidP="00A978A3">
      <w:pPr>
        <w:spacing w:line="360" w:lineRule="auto"/>
        <w:jc w:val="both"/>
        <w:rPr>
          <w:rFonts w:ascii="Century Gothic" w:hAnsi="Century Gothic"/>
          <w:b/>
          <w:bCs/>
          <w:spacing w:val="2"/>
          <w:sz w:val="22"/>
          <w:szCs w:val="22"/>
          <w:lang w:val="en-ZA" w:eastAsia="en-ZA"/>
        </w:rPr>
      </w:pPr>
      <w:r w:rsidRPr="00A978A3">
        <w:rPr>
          <w:rFonts w:ascii="Century Gothic" w:hAnsi="Century Gothic"/>
          <w:b/>
          <w:bCs/>
          <w:spacing w:val="2"/>
          <w:sz w:val="22"/>
          <w:szCs w:val="22"/>
          <w:lang w:val="en-ZA" w:eastAsia="en-ZA"/>
        </w:rPr>
        <w:t>A qualified learner will be able to:</w:t>
      </w:r>
    </w:p>
    <w:p w:rsidR="00A978A3" w:rsidRPr="00A978A3" w:rsidRDefault="00A978A3" w:rsidP="00A978A3">
      <w:pPr>
        <w:numPr>
          <w:ilvl w:val="0"/>
          <w:numId w:val="37"/>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Perform cutting, gouging and gas welding of ferrous materials using oxy fuel, carbon arc and plasma cutting equipment.</w:t>
      </w:r>
    </w:p>
    <w:p w:rsidR="00A978A3" w:rsidRPr="00A978A3" w:rsidRDefault="00A978A3" w:rsidP="00A978A3">
      <w:pPr>
        <w:numPr>
          <w:ilvl w:val="0"/>
          <w:numId w:val="37"/>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fillet welds using various welding processes</w:t>
      </w:r>
    </w:p>
    <w:p w:rsidR="00A978A3" w:rsidRPr="00A978A3" w:rsidRDefault="00A978A3" w:rsidP="00A978A3">
      <w:pPr>
        <w:numPr>
          <w:ilvl w:val="0"/>
          <w:numId w:val="37"/>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plate welds using various welding processes.</w:t>
      </w:r>
    </w:p>
    <w:p w:rsidR="00A978A3" w:rsidRPr="00A978A3" w:rsidRDefault="00A978A3" w:rsidP="00A978A3">
      <w:pPr>
        <w:numPr>
          <w:ilvl w:val="0"/>
          <w:numId w:val="37"/>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pipe welds using various welding processes</w:t>
      </w:r>
    </w:p>
    <w:p w:rsidR="00A978A3" w:rsidRPr="00A978A3" w:rsidRDefault="00A978A3" w:rsidP="00A978A3">
      <w:pPr>
        <w:spacing w:line="360" w:lineRule="auto"/>
        <w:jc w:val="both"/>
        <w:rPr>
          <w:rFonts w:ascii="Century Gothic" w:hAnsi="Century Gothic"/>
          <w:b/>
          <w:bCs/>
          <w:spacing w:val="2"/>
          <w:sz w:val="22"/>
          <w:szCs w:val="22"/>
          <w:lang w:val="en-ZA" w:eastAsia="en-ZA"/>
        </w:rPr>
      </w:pPr>
    </w:p>
    <w:p w:rsidR="00A978A3" w:rsidRPr="00A978A3" w:rsidRDefault="00A978A3" w:rsidP="00A978A3">
      <w:pPr>
        <w:widowControl w:val="0"/>
        <w:autoSpaceDE w:val="0"/>
        <w:autoSpaceDN w:val="0"/>
        <w:spacing w:line="360" w:lineRule="auto"/>
        <w:jc w:val="both"/>
        <w:rPr>
          <w:rFonts w:ascii="Century Gothic" w:hAnsi="Century Gothic"/>
          <w:b/>
          <w:bCs/>
          <w:sz w:val="22"/>
          <w:szCs w:val="22"/>
          <w:lang w:val="en-ZA"/>
        </w:rPr>
      </w:pPr>
      <w:r w:rsidRPr="00A978A3">
        <w:rPr>
          <w:rFonts w:ascii="Century Gothic" w:hAnsi="Century Gothic"/>
          <w:b/>
          <w:bCs/>
          <w:sz w:val="22"/>
          <w:szCs w:val="22"/>
          <w:lang w:val="en-ZA"/>
        </w:rPr>
        <w:t xml:space="preserve">Rationale: </w:t>
      </w:r>
    </w:p>
    <w:p w:rsidR="00A978A3" w:rsidRPr="00A978A3" w:rsidRDefault="00A978A3" w:rsidP="00A978A3">
      <w:pPr>
        <w:widowControl w:val="0"/>
        <w:autoSpaceDE w:val="0"/>
        <w:autoSpaceDN w:val="0"/>
        <w:spacing w:line="360" w:lineRule="auto"/>
        <w:jc w:val="both"/>
        <w:rPr>
          <w:rFonts w:ascii="Century Gothic" w:hAnsi="Century Gothic"/>
          <w:bCs/>
          <w:sz w:val="22"/>
          <w:szCs w:val="22"/>
          <w:lang w:val="en-ZA"/>
        </w:rPr>
      </w:pPr>
      <w:r w:rsidRPr="00A978A3">
        <w:rPr>
          <w:rFonts w:ascii="Century Gothic" w:hAnsi="Century Gothic"/>
          <w:bCs/>
          <w:sz w:val="22"/>
          <w:szCs w:val="22"/>
          <w:lang w:val="en-ZA"/>
        </w:rPr>
        <w:t xml:space="preserve">This qualification is a listed trade qualification and falls within the Occupational Qualifications Framework of the NQF of South Africa. Of specific importance is the fact that this qualification elevates training of Welders in South Africa to accepted international standards. A wide range of industries in the South African economy employs welders, qualified as artisans .Inclusive are companies in the manufacturing sector, mining, petro-chemical as well as engineering contractors in large and small projects - including projects that are key to the economic development of South Africa such as power supply. This qualification addresses one of the key trades in which labour market shortages for skilled artisans are experienced. Reports of large number of welders contracted from other countries to address the scarcity of welding skills are common. The availability of this Welding qualification for training of trades persons to accepted international standards is regarded as an important resource to support of national artisan development initiatives in South Africa. The qualification ensures that a sound skills base is developed at artisan level that can serve as the foundation for achieving coded welding status required for the execution of specialised welds by industry. The importance of providing opportunities for persons that are unemployed, who seeks to develop skills that allows them to enter into small welding business opportunities in rural and developed areas of the country is supported by the design of the qualification. Specific skill sets in basic welding practices are inclusive and allows for the training of such persons </w:t>
      </w:r>
      <w:r w:rsidRPr="00A978A3">
        <w:rPr>
          <w:rFonts w:ascii="Century Gothic" w:hAnsi="Century Gothic"/>
          <w:bCs/>
          <w:sz w:val="22"/>
          <w:szCs w:val="22"/>
          <w:lang w:val="en-ZA"/>
        </w:rPr>
        <w:lastRenderedPageBreak/>
        <w:t>within the overall structure of the trade. Recognition achieved for completion of these skills sets, when delivered by accredited providers, allows the learners to build their portfolio and towards completion of the full trade.</w:t>
      </w:r>
      <w:r w:rsidRPr="00A978A3">
        <w:rPr>
          <w:rFonts w:ascii="Century Gothic" w:hAnsi="Century Gothic"/>
          <w:bCs/>
          <w:sz w:val="22"/>
          <w:szCs w:val="22"/>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5252555"/>
      <w:bookmarkStart w:id="20" w:name="_Toc497778021"/>
      <w:r w:rsidRPr="00A978A3">
        <w:rPr>
          <w:rFonts w:ascii="Century Gothic" w:hAnsi="Century Gothic"/>
          <w:b/>
          <w:bCs/>
          <w:sz w:val="40"/>
          <w:szCs w:val="40"/>
          <w:lang w:val="en-ZA"/>
        </w:rPr>
        <w:lastRenderedPageBreak/>
        <w:t>QUALIFICATION RULES</w:t>
      </w:r>
      <w:bookmarkEnd w:id="19"/>
      <w:bookmarkEnd w:id="20"/>
    </w:p>
    <w:p w:rsidR="00A978A3" w:rsidRPr="00A978A3" w:rsidRDefault="00A978A3" w:rsidP="00A978A3">
      <w:pPr>
        <w:widowControl w:val="0"/>
        <w:autoSpaceDE w:val="0"/>
        <w:autoSpaceDN w:val="0"/>
        <w:spacing w:line="360" w:lineRule="auto"/>
        <w:jc w:val="both"/>
        <w:rPr>
          <w:rFonts w:ascii="Century Gothic" w:hAnsi="Century Gothic"/>
          <w:b/>
          <w:bCs/>
          <w:lang w:val="en-ZA"/>
        </w:rPr>
      </w:pPr>
    </w:p>
    <w:p w:rsidR="00A978A3" w:rsidRPr="00A978A3" w:rsidRDefault="00A978A3" w:rsidP="00A978A3">
      <w:pPr>
        <w:widowControl w:val="0"/>
        <w:autoSpaceDE w:val="0"/>
        <w:autoSpaceDN w:val="0"/>
        <w:adjustRightInd w:val="0"/>
        <w:spacing w:before="11"/>
        <w:ind w:left="147"/>
        <w:rPr>
          <w:rFonts w:ascii="Century Gothic" w:hAnsi="Century Gothic"/>
          <w:sz w:val="22"/>
          <w:szCs w:val="22"/>
          <w:lang w:val="en-ZA" w:eastAsia="en-ZA"/>
        </w:rPr>
      </w:pPr>
      <w:r w:rsidRPr="00A978A3">
        <w:rPr>
          <w:rFonts w:ascii="Century Gothic" w:hAnsi="Century Gothic"/>
          <w:b/>
          <w:bCs/>
          <w:spacing w:val="2"/>
          <w:sz w:val="22"/>
          <w:szCs w:val="22"/>
          <w:lang w:val="en-ZA" w:eastAsia="en-ZA"/>
        </w:rPr>
        <w:t>L</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s</w:t>
      </w:r>
      <w:r w:rsidRPr="00A978A3">
        <w:rPr>
          <w:rFonts w:ascii="Century Gothic" w:hAnsi="Century Gothic"/>
          <w:b/>
          <w:bCs/>
          <w:sz w:val="22"/>
          <w:szCs w:val="22"/>
          <w:lang w:val="en-ZA" w:eastAsia="en-ZA"/>
        </w:rPr>
        <w:t>t</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f</w:t>
      </w:r>
      <w:r w:rsidRPr="00A978A3">
        <w:rPr>
          <w:rFonts w:ascii="Century Gothic" w:hAnsi="Century Gothic"/>
          <w:b/>
          <w:bCs/>
          <w:spacing w:val="7"/>
          <w:sz w:val="22"/>
          <w:szCs w:val="22"/>
          <w:lang w:val="en-ZA" w:eastAsia="en-ZA"/>
        </w:rPr>
        <w:t xml:space="preserve"> </w:t>
      </w:r>
      <w:r w:rsidRPr="00A978A3">
        <w:rPr>
          <w:rFonts w:ascii="Century Gothic" w:hAnsi="Century Gothic"/>
          <w:b/>
          <w:bCs/>
          <w:spacing w:val="-4"/>
          <w:sz w:val="22"/>
          <w:szCs w:val="22"/>
          <w:lang w:val="en-ZA" w:eastAsia="en-ZA"/>
        </w:rPr>
        <w:t>K</w:t>
      </w:r>
      <w:r w:rsidRPr="00A978A3">
        <w:rPr>
          <w:rFonts w:ascii="Century Gothic" w:hAnsi="Century Gothic"/>
          <w:b/>
          <w:bCs/>
          <w:spacing w:val="2"/>
          <w:sz w:val="22"/>
          <w:szCs w:val="22"/>
          <w:lang w:val="en-ZA" w:eastAsia="en-ZA"/>
        </w:rPr>
        <w:t>n</w:t>
      </w:r>
      <w:r w:rsidRPr="00A978A3">
        <w:rPr>
          <w:rFonts w:ascii="Century Gothic" w:hAnsi="Century Gothic"/>
          <w:b/>
          <w:bCs/>
          <w:spacing w:val="-3"/>
          <w:sz w:val="22"/>
          <w:szCs w:val="22"/>
          <w:lang w:val="en-ZA" w:eastAsia="en-ZA"/>
        </w:rPr>
        <w:t>o</w:t>
      </w:r>
      <w:r w:rsidRPr="00A978A3">
        <w:rPr>
          <w:rFonts w:ascii="Century Gothic" w:hAnsi="Century Gothic"/>
          <w:b/>
          <w:bCs/>
          <w:spacing w:val="7"/>
          <w:sz w:val="22"/>
          <w:szCs w:val="22"/>
          <w:lang w:val="en-ZA" w:eastAsia="en-ZA"/>
        </w:rPr>
        <w:t>w</w:t>
      </w:r>
      <w:r w:rsidRPr="00A978A3">
        <w:rPr>
          <w:rFonts w:ascii="Century Gothic" w:hAnsi="Century Gothic"/>
          <w:b/>
          <w:bCs/>
          <w:sz w:val="22"/>
          <w:szCs w:val="22"/>
          <w:lang w:val="en-ZA" w:eastAsia="en-ZA"/>
        </w:rPr>
        <w:t>le</w:t>
      </w:r>
      <w:r w:rsidRPr="00A978A3">
        <w:rPr>
          <w:rFonts w:ascii="Century Gothic" w:hAnsi="Century Gothic"/>
          <w:b/>
          <w:bCs/>
          <w:spacing w:val="1"/>
          <w:sz w:val="22"/>
          <w:szCs w:val="22"/>
          <w:lang w:val="en-ZA" w:eastAsia="en-ZA"/>
        </w:rPr>
        <w:t>d</w:t>
      </w:r>
      <w:r w:rsidRPr="00A978A3">
        <w:rPr>
          <w:rFonts w:ascii="Century Gothic" w:hAnsi="Century Gothic"/>
          <w:b/>
          <w:bCs/>
          <w:spacing w:val="-3"/>
          <w:sz w:val="22"/>
          <w:szCs w:val="22"/>
          <w:lang w:val="en-ZA" w:eastAsia="en-ZA"/>
        </w:rPr>
        <w:t>g</w:t>
      </w:r>
      <w:r w:rsidRPr="00A978A3">
        <w:rPr>
          <w:rFonts w:ascii="Century Gothic" w:hAnsi="Century Gothic"/>
          <w:b/>
          <w:bCs/>
          <w:sz w:val="22"/>
          <w:szCs w:val="22"/>
          <w:lang w:val="en-ZA" w:eastAsia="en-ZA"/>
        </w:rPr>
        <w:t>e</w:t>
      </w:r>
      <w:r w:rsidRPr="00A978A3">
        <w:rPr>
          <w:rFonts w:ascii="Century Gothic" w:hAnsi="Century Gothic"/>
          <w:b/>
          <w:bCs/>
          <w:spacing w:val="25"/>
          <w:sz w:val="22"/>
          <w:szCs w:val="22"/>
          <w:lang w:val="en-ZA" w:eastAsia="en-ZA"/>
        </w:rPr>
        <w:t xml:space="preserve"> </w:t>
      </w:r>
      <w:r w:rsidRPr="00A978A3">
        <w:rPr>
          <w:rFonts w:ascii="Century Gothic" w:hAnsi="Century Gothic"/>
          <w:b/>
          <w:bCs/>
          <w:sz w:val="22"/>
          <w:szCs w:val="22"/>
          <w:lang w:val="en-ZA" w:eastAsia="en-ZA"/>
        </w:rPr>
        <w:t>M</w:t>
      </w:r>
      <w:r w:rsidRPr="00A978A3">
        <w:rPr>
          <w:rFonts w:ascii="Century Gothic" w:hAnsi="Century Gothic"/>
          <w:b/>
          <w:bCs/>
          <w:spacing w:val="1"/>
          <w:sz w:val="22"/>
          <w:szCs w:val="22"/>
          <w:lang w:val="en-ZA" w:eastAsia="en-ZA"/>
        </w:rPr>
        <w:t>o</w:t>
      </w:r>
      <w:r w:rsidRPr="00A978A3">
        <w:rPr>
          <w:rFonts w:ascii="Century Gothic" w:hAnsi="Century Gothic"/>
          <w:b/>
          <w:bCs/>
          <w:spacing w:val="2"/>
          <w:sz w:val="22"/>
          <w:szCs w:val="22"/>
          <w:lang w:val="en-ZA" w:eastAsia="en-ZA"/>
        </w:rPr>
        <w:t>du</w:t>
      </w:r>
      <w:r w:rsidRPr="00A978A3">
        <w:rPr>
          <w:rFonts w:ascii="Century Gothic" w:hAnsi="Century Gothic"/>
          <w:b/>
          <w:bCs/>
          <w:sz w:val="22"/>
          <w:szCs w:val="22"/>
          <w:lang w:val="en-ZA" w:eastAsia="en-ZA"/>
        </w:rPr>
        <w:t>les</w:t>
      </w:r>
      <w:r w:rsidRPr="00A978A3">
        <w:rPr>
          <w:rFonts w:ascii="Century Gothic" w:hAnsi="Century Gothic"/>
          <w:b/>
          <w:bCs/>
          <w:spacing w:val="20"/>
          <w:sz w:val="22"/>
          <w:szCs w:val="22"/>
          <w:lang w:val="en-ZA" w:eastAsia="en-ZA"/>
        </w:rPr>
        <w:t xml:space="preserve"> </w:t>
      </w:r>
      <w:r w:rsidRPr="00A978A3">
        <w:rPr>
          <w:rFonts w:ascii="Century Gothic" w:hAnsi="Century Gothic"/>
          <w:b/>
          <w:bCs/>
          <w:spacing w:val="-4"/>
          <w:sz w:val="22"/>
          <w:szCs w:val="22"/>
          <w:lang w:val="en-ZA" w:eastAsia="en-ZA"/>
        </w:rPr>
        <w:t>f</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r</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wh</w:t>
      </w:r>
      <w:r w:rsidRPr="00A978A3">
        <w:rPr>
          <w:rFonts w:ascii="Century Gothic" w:hAnsi="Century Gothic"/>
          <w:b/>
          <w:bCs/>
          <w:sz w:val="22"/>
          <w:szCs w:val="22"/>
          <w:lang w:val="en-ZA" w:eastAsia="en-ZA"/>
        </w:rPr>
        <w:t>ich</w:t>
      </w:r>
      <w:r w:rsidRPr="00A978A3">
        <w:rPr>
          <w:rFonts w:ascii="Century Gothic" w:hAnsi="Century Gothic"/>
          <w:b/>
          <w:bCs/>
          <w:spacing w:val="15"/>
          <w:sz w:val="22"/>
          <w:szCs w:val="22"/>
          <w:lang w:val="en-ZA" w:eastAsia="en-ZA"/>
        </w:rPr>
        <w:t xml:space="preserve"> </w:t>
      </w:r>
      <w:r w:rsidRPr="00A978A3">
        <w:rPr>
          <w:rFonts w:ascii="Century Gothic" w:hAnsi="Century Gothic"/>
          <w:b/>
          <w:bCs/>
          <w:sz w:val="22"/>
          <w:szCs w:val="22"/>
          <w:lang w:val="en-ZA" w:eastAsia="en-ZA"/>
        </w:rPr>
        <w:t>Sp</w:t>
      </w:r>
      <w:r w:rsidRPr="00A978A3">
        <w:rPr>
          <w:rFonts w:ascii="Century Gothic" w:hAnsi="Century Gothic"/>
          <w:b/>
          <w:bCs/>
          <w:spacing w:val="4"/>
          <w:sz w:val="22"/>
          <w:szCs w:val="22"/>
          <w:lang w:val="en-ZA" w:eastAsia="en-ZA"/>
        </w:rPr>
        <w:t>e</w:t>
      </w:r>
      <w:r w:rsidRPr="00A978A3">
        <w:rPr>
          <w:rFonts w:ascii="Century Gothic" w:hAnsi="Century Gothic"/>
          <w:b/>
          <w:bCs/>
          <w:spacing w:val="-5"/>
          <w:sz w:val="22"/>
          <w:szCs w:val="22"/>
          <w:lang w:val="en-ZA" w:eastAsia="en-ZA"/>
        </w:rPr>
        <w:t>c</w:t>
      </w:r>
      <w:r w:rsidRPr="00A978A3">
        <w:rPr>
          <w:rFonts w:ascii="Century Gothic" w:hAnsi="Century Gothic"/>
          <w:b/>
          <w:bCs/>
          <w:sz w:val="22"/>
          <w:szCs w:val="22"/>
          <w:lang w:val="en-ZA" w:eastAsia="en-ZA"/>
        </w:rPr>
        <w:t>i</w:t>
      </w:r>
      <w:r w:rsidRPr="00A978A3">
        <w:rPr>
          <w:rFonts w:ascii="Century Gothic" w:hAnsi="Century Gothic"/>
          <w:b/>
          <w:bCs/>
          <w:spacing w:val="2"/>
          <w:sz w:val="22"/>
          <w:szCs w:val="22"/>
          <w:lang w:val="en-ZA" w:eastAsia="en-ZA"/>
        </w:rPr>
        <w:t>f</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c</w:t>
      </w:r>
      <w:r w:rsidRPr="00A978A3">
        <w:rPr>
          <w:rFonts w:ascii="Century Gothic" w:hAnsi="Century Gothic"/>
          <w:b/>
          <w:bCs/>
          <w:sz w:val="22"/>
          <w:szCs w:val="22"/>
          <w:lang w:val="en-ZA" w:eastAsia="en-ZA"/>
        </w:rPr>
        <w:t>a</w:t>
      </w:r>
      <w:r w:rsidRPr="00A978A3">
        <w:rPr>
          <w:rFonts w:ascii="Century Gothic" w:hAnsi="Century Gothic"/>
          <w:b/>
          <w:bCs/>
          <w:spacing w:val="1"/>
          <w:sz w:val="22"/>
          <w:szCs w:val="22"/>
          <w:lang w:val="en-ZA" w:eastAsia="en-ZA"/>
        </w:rPr>
        <w:t>t</w:t>
      </w:r>
      <w:r w:rsidRPr="00A978A3">
        <w:rPr>
          <w:rFonts w:ascii="Century Gothic" w:hAnsi="Century Gothic"/>
          <w:b/>
          <w:bCs/>
          <w:spacing w:val="-5"/>
          <w:sz w:val="22"/>
          <w:szCs w:val="22"/>
          <w:lang w:val="en-ZA" w:eastAsia="en-ZA"/>
        </w:rPr>
        <w:t>i</w:t>
      </w:r>
      <w:r w:rsidRPr="00A978A3">
        <w:rPr>
          <w:rFonts w:ascii="Century Gothic" w:hAnsi="Century Gothic"/>
          <w:b/>
          <w:bCs/>
          <w:spacing w:val="2"/>
          <w:sz w:val="22"/>
          <w:szCs w:val="22"/>
          <w:lang w:val="en-ZA" w:eastAsia="en-ZA"/>
        </w:rPr>
        <w:t>o</w:t>
      </w:r>
      <w:r w:rsidRPr="00A978A3">
        <w:rPr>
          <w:rFonts w:ascii="Century Gothic" w:hAnsi="Century Gothic"/>
          <w:b/>
          <w:bCs/>
          <w:spacing w:val="-3"/>
          <w:sz w:val="22"/>
          <w:szCs w:val="22"/>
          <w:lang w:val="en-ZA" w:eastAsia="en-ZA"/>
        </w:rPr>
        <w:t>n</w:t>
      </w:r>
      <w:r w:rsidRPr="00A978A3">
        <w:rPr>
          <w:rFonts w:ascii="Century Gothic" w:hAnsi="Century Gothic"/>
          <w:b/>
          <w:bCs/>
          <w:sz w:val="22"/>
          <w:szCs w:val="22"/>
          <w:lang w:val="en-ZA" w:eastAsia="en-ZA"/>
        </w:rPr>
        <w:t>s</w:t>
      </w:r>
      <w:r w:rsidRPr="00A978A3">
        <w:rPr>
          <w:rFonts w:ascii="Century Gothic" w:hAnsi="Century Gothic"/>
          <w:b/>
          <w:bCs/>
          <w:spacing w:val="36"/>
          <w:sz w:val="22"/>
          <w:szCs w:val="22"/>
          <w:lang w:val="en-ZA" w:eastAsia="en-ZA"/>
        </w:rPr>
        <w:t xml:space="preserve"> </w:t>
      </w:r>
      <w:r w:rsidRPr="00A978A3">
        <w:rPr>
          <w:rFonts w:ascii="Century Gothic" w:hAnsi="Century Gothic"/>
          <w:b/>
          <w:bCs/>
          <w:sz w:val="22"/>
          <w:szCs w:val="22"/>
          <w:lang w:val="en-ZA" w:eastAsia="en-ZA"/>
        </w:rPr>
        <w:t>a</w:t>
      </w:r>
      <w:r w:rsidRPr="00A978A3">
        <w:rPr>
          <w:rFonts w:ascii="Century Gothic" w:hAnsi="Century Gothic"/>
          <w:b/>
          <w:bCs/>
          <w:spacing w:val="-2"/>
          <w:sz w:val="22"/>
          <w:szCs w:val="22"/>
          <w:lang w:val="en-ZA" w:eastAsia="en-ZA"/>
        </w:rPr>
        <w:t>r</w:t>
      </w:r>
      <w:r w:rsidRPr="00A978A3">
        <w:rPr>
          <w:rFonts w:ascii="Century Gothic" w:hAnsi="Century Gothic"/>
          <w:b/>
          <w:bCs/>
          <w:sz w:val="22"/>
          <w:szCs w:val="22"/>
          <w:lang w:val="en-ZA" w:eastAsia="en-ZA"/>
        </w:rPr>
        <w:t>e</w:t>
      </w:r>
      <w:r w:rsidRPr="00A978A3">
        <w:rPr>
          <w:rFonts w:ascii="Century Gothic" w:hAnsi="Century Gothic"/>
          <w:b/>
          <w:bCs/>
          <w:spacing w:val="13"/>
          <w:sz w:val="22"/>
          <w:szCs w:val="22"/>
          <w:lang w:val="en-ZA" w:eastAsia="en-ZA"/>
        </w:rPr>
        <w:t xml:space="preserve"> </w:t>
      </w:r>
      <w:r w:rsidRPr="00A978A3">
        <w:rPr>
          <w:rFonts w:ascii="Century Gothic" w:hAnsi="Century Gothic"/>
          <w:b/>
          <w:bCs/>
          <w:w w:val="102"/>
          <w:sz w:val="22"/>
          <w:szCs w:val="22"/>
          <w:lang w:val="en-ZA" w:eastAsia="en-ZA"/>
        </w:rPr>
        <w:t>i</w:t>
      </w:r>
      <w:r w:rsidRPr="00A978A3">
        <w:rPr>
          <w:rFonts w:ascii="Century Gothic" w:hAnsi="Century Gothic"/>
          <w:b/>
          <w:bCs/>
          <w:spacing w:val="1"/>
          <w:w w:val="102"/>
          <w:sz w:val="22"/>
          <w:szCs w:val="22"/>
          <w:lang w:val="en-ZA" w:eastAsia="en-ZA"/>
        </w:rPr>
        <w:t>n</w:t>
      </w:r>
      <w:r w:rsidRPr="00A978A3">
        <w:rPr>
          <w:rFonts w:ascii="Century Gothic" w:hAnsi="Century Gothic"/>
          <w:b/>
          <w:bCs/>
          <w:spacing w:val="-5"/>
          <w:w w:val="102"/>
          <w:sz w:val="22"/>
          <w:szCs w:val="22"/>
          <w:lang w:val="en-ZA" w:eastAsia="en-ZA"/>
        </w:rPr>
        <w:t>c</w:t>
      </w:r>
      <w:r w:rsidRPr="00A978A3">
        <w:rPr>
          <w:rFonts w:ascii="Century Gothic" w:hAnsi="Century Gothic"/>
          <w:b/>
          <w:bCs/>
          <w:w w:val="102"/>
          <w:sz w:val="22"/>
          <w:szCs w:val="22"/>
          <w:lang w:val="en-ZA" w:eastAsia="en-ZA"/>
        </w:rPr>
        <w:t>l</w:t>
      </w:r>
      <w:r w:rsidRPr="00A978A3">
        <w:rPr>
          <w:rFonts w:ascii="Century Gothic" w:hAnsi="Century Gothic"/>
          <w:b/>
          <w:bCs/>
          <w:spacing w:val="1"/>
          <w:w w:val="102"/>
          <w:sz w:val="22"/>
          <w:szCs w:val="22"/>
          <w:lang w:val="en-ZA" w:eastAsia="en-ZA"/>
        </w:rPr>
        <w:t>u</w:t>
      </w:r>
      <w:r w:rsidRPr="00A978A3">
        <w:rPr>
          <w:rFonts w:ascii="Century Gothic" w:hAnsi="Century Gothic"/>
          <w:b/>
          <w:bCs/>
          <w:spacing w:val="2"/>
          <w:w w:val="102"/>
          <w:sz w:val="22"/>
          <w:szCs w:val="22"/>
          <w:lang w:val="en-ZA" w:eastAsia="en-ZA"/>
        </w:rPr>
        <w:t>d</w:t>
      </w:r>
      <w:r w:rsidRPr="00A978A3">
        <w:rPr>
          <w:rFonts w:ascii="Century Gothic" w:hAnsi="Century Gothic"/>
          <w:b/>
          <w:bCs/>
          <w:w w:val="102"/>
          <w:sz w:val="22"/>
          <w:szCs w:val="22"/>
          <w:lang w:val="en-ZA" w:eastAsia="en-ZA"/>
        </w:rPr>
        <w:t>ed</w:t>
      </w:r>
    </w:p>
    <w:p w:rsidR="00A978A3" w:rsidRPr="00A978A3" w:rsidRDefault="00A978A3" w:rsidP="00A978A3">
      <w:pPr>
        <w:widowControl w:val="0"/>
        <w:autoSpaceDE w:val="0"/>
        <w:autoSpaceDN w:val="0"/>
        <w:adjustRightInd w:val="0"/>
        <w:spacing w:before="6" w:line="240" w:lineRule="exact"/>
        <w:rPr>
          <w:rFonts w:ascii="Century Gothic" w:hAnsi="Century Gothic"/>
          <w:lang w:val="en-ZA" w:eastAsia="en-ZA"/>
        </w:rPr>
      </w:pP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651202000-KM-01: Introduction to the welding trade, NQF Level 2 (2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651202000-KM-02: Occupational Safety, Health and Environmental Protection, NQF Level 2 (4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651202000-KM-03: Welding schematics, calculations, welds and welded joints, NQF Level 2 (6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651202000-KM-04: Weld imperfections, NQF Level 2 (2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651202000-KM-05: Cutting and gouging, NQF Level 2 (2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651202000-KM-06: Welding consumable classification and handling, NQF Level 2 (4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651202000-KM-07: Metals and weldability of metals, NQF Level 3 (8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651202000-KM-08: Fusion welding, NQF Level 3 (6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651202000-KM-09: Arc welding, NQF Level 3 (8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651202000-KM-10: Gas welding and cutting, NQF Level 3 (4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651202000-KM-11: Welding codes, standards and parameters, NQF Level 4 (6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651202000-KM-12: Shrinkage, residual stress and distortion, NQF Level 4 (4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651202000-KM-13: Manual Metal Arc (MMA) welding process, NQF Level 4 (7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651202000-KM-14: The Metal Inert Gas/Metal Active Gas/Flux Cored Arc (MIG/MAG/FCAW) welding process, NQF Level 7 (7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651202000-KM-15: Manual Metal Arc (MMA) welding process, NQF Level 4 (7 credits)</w:t>
      </w:r>
    </w:p>
    <w:p w:rsidR="00A978A3" w:rsidRPr="00A978A3" w:rsidRDefault="00A978A3" w:rsidP="00A978A3">
      <w:pPr>
        <w:numPr>
          <w:ilvl w:val="0"/>
          <w:numId w:val="36"/>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651202000-KM-16: Welding inspection and quality, NQF Level 4 (4 credits)</w:t>
      </w:r>
    </w:p>
    <w:p w:rsidR="00A978A3" w:rsidRPr="00A978A3" w:rsidRDefault="00A978A3" w:rsidP="00A978A3">
      <w:pPr>
        <w:spacing w:line="360" w:lineRule="auto"/>
        <w:jc w:val="both"/>
        <w:rPr>
          <w:rFonts w:ascii="Century Gothic" w:eastAsia="Calibri" w:hAnsi="Century Gothic"/>
          <w:b/>
          <w:sz w:val="22"/>
          <w:szCs w:val="22"/>
          <w:lang w:val="en-ZA" w:eastAsia="en-ZA"/>
        </w:rPr>
      </w:pPr>
      <w:r w:rsidRPr="00A978A3">
        <w:rPr>
          <w:rFonts w:ascii="Century Gothic" w:eastAsia="Calibri" w:hAnsi="Century Gothic"/>
          <w:b/>
          <w:sz w:val="22"/>
          <w:szCs w:val="22"/>
          <w:lang w:val="en-ZA" w:eastAsia="en-ZA"/>
        </w:rPr>
        <w:t>Total number of Credits for the Knowledge Modules: 81.</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Practical Skill Modules: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Fabricate simple components or work pieces, NQF Level 2, 4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gouge and gas weld material manually, NQF Level 2, 12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Shielded Metal Arc Welding process, NQF Level 3, 12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lastRenderedPageBreak/>
        <w:t>Perform fillet welds using the Gas Metal Arc Welding process, NQF Level 3, 12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Gas Tungsten Arc Welding process, NQF Level 3,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Shielded Metal Arc Welding process, NQF Level 4,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Metal Arc Welding process, NQF Level 4,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Tungsten Arc Welding process, NQF Level 4,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Shielded Metal Arc Welding process, NQF Level 4,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Gas Metal Arc Welding process, NQF Level 4, 16 Credits.</w:t>
      </w:r>
    </w:p>
    <w:p w:rsidR="00A978A3" w:rsidRPr="00A978A3" w:rsidRDefault="00A978A3" w:rsidP="00A978A3">
      <w:pPr>
        <w:numPr>
          <w:ilvl w:val="0"/>
          <w:numId w:val="38"/>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Perform pipe welds using the Gas Tungsten Arc Welding process, NQF Level 4, 20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number of credits for the Practical Skills Modules: 140.</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This qualification also requires the following Work Experience Modules: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and gouge a range of materials in the workplace, NQF Level 2, 8 Credits.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fillet welds using various welding processes in a workplace, NQF Level 4, 40 Credits.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Care for, control and handle consumables and materials in a workshop, NQF Level 2, 4 Credits.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plate welds using various welding processes in a workplace, NQF Level 4, 40 Credits.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Team work, communication and reporting in the workplace, NQF Level 3, 8 Credits.</w:t>
      </w:r>
    </w:p>
    <w:p w:rsidR="00A978A3" w:rsidRPr="00A978A3" w:rsidRDefault="00A978A3" w:rsidP="00A978A3">
      <w:pPr>
        <w:numPr>
          <w:ilvl w:val="0"/>
          <w:numId w:val="39"/>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Produce a range of pipe welds using various welding processes in a workplace, NQF Level 4, 52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credits for the Work Experience Modules: 152.</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5252556"/>
      <w:bookmarkStart w:id="22" w:name="_Toc497778022"/>
      <w:r w:rsidRPr="00A978A3">
        <w:rPr>
          <w:rFonts w:ascii="Century Gothic" w:hAnsi="Century Gothic"/>
          <w:b/>
          <w:bCs/>
          <w:sz w:val="40"/>
          <w:szCs w:val="40"/>
          <w:lang w:val="en-ZA"/>
        </w:rPr>
        <w:lastRenderedPageBreak/>
        <w:t>EXIT LEVEL OUTCOMES</w:t>
      </w:r>
      <w:bookmarkEnd w:id="21"/>
      <w:bookmarkEnd w:id="22"/>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1. The ability to cut, gouge and gas weld ferrous materials.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2. The ability to weld ferrous materials including stainless steel using Shielded Metal Arc Welding.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3. The ability to weld ferrous and non-ferrous materials using Gas Metal Arc Welding processes.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4. The ability to weld ferrous and non-ferrous materials using the Gas Tungsten Arc Welding process.</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Occupation Regulation</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5252557"/>
      <w:bookmarkStart w:id="24" w:name="_Toc497778023"/>
      <w:r w:rsidRPr="00A978A3">
        <w:rPr>
          <w:rFonts w:ascii="Century Gothic" w:hAnsi="Century Gothic"/>
          <w:b/>
          <w:bCs/>
          <w:sz w:val="40"/>
          <w:szCs w:val="40"/>
          <w:lang w:val="en-ZA"/>
        </w:rPr>
        <w:lastRenderedPageBreak/>
        <w:t>ENTRY REQUIREMENTS:</w:t>
      </w:r>
      <w:bookmarkEnd w:id="23"/>
      <w:bookmarkEnd w:id="24"/>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Recognition of Prior Learning (RPL):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RPL for access to the integrated assessment: Accredited providers and approved workplaces must apply the internal assessment criteria specified in the related curriculum document to establish and conform prior learning. Prior learning must be acknowledged by a statement of results.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RPL for access to the qualification: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Accredited providers and approved workplaces may recognise prior learning against the relevant access requirements.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Entry Requirements:</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NQF Level 1 with Mathematics and Science.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RECOGNISE PREVIOUS LEARNING?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Y</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5252558"/>
      <w:bookmarkStart w:id="26" w:name="_Toc497778024"/>
      <w:r w:rsidRPr="00A978A3">
        <w:rPr>
          <w:rFonts w:ascii="Century Gothic" w:hAnsi="Century Gothic"/>
          <w:b/>
          <w:bCs/>
          <w:sz w:val="40"/>
          <w:szCs w:val="40"/>
          <w:lang w:val="en-ZA"/>
        </w:rPr>
        <w:lastRenderedPageBreak/>
        <w:t>ARTICULATION OPTIONS</w:t>
      </w:r>
      <w:bookmarkEnd w:id="25"/>
      <w:bookmarkEnd w:id="26"/>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Articulation opportunities with other metal trade specific qualifications in the unit group 6512, Welders and Flame Cutters, such as Pressure Welders and Fitter Welders, 6513, Sheet Metal Workers such as Boiler Makers will become reality as trade qualifications for these are developed. The structure of the curriculum recognises the internationally accepted progressive development route of welders through skill sets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Fillet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Plate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Pipe Welder. Even though related qualifications are not currently registered on the NLRD, progression to higher level welding trade specific employment opportunities is possible for the qualified welder in areas such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Practitioners.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Specialists.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Welding Inspector: Level 1.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sz w:val="22"/>
          <w:szCs w:val="22"/>
        </w:rPr>
        <w:t>• Welding Inspector: Level 2.</w:t>
      </w:r>
      <w:r w:rsidRPr="00A978A3">
        <w:rPr>
          <w:rFonts w:ascii="Century Gothic" w:hAnsi="Century Gothic"/>
          <w:b/>
          <w:sz w:val="22"/>
          <w:szCs w:val="22"/>
        </w:rPr>
        <w:t xml:space="preserve"> </w:t>
      </w: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5252559"/>
      <w:bookmarkStart w:id="28" w:name="_Toc497778025"/>
      <w:r w:rsidRPr="00A978A3">
        <w:rPr>
          <w:rFonts w:ascii="Century Gothic" w:hAnsi="Century Gothic"/>
          <w:b/>
          <w:bCs/>
          <w:sz w:val="40"/>
          <w:szCs w:val="40"/>
        </w:rPr>
        <w:lastRenderedPageBreak/>
        <w:t>ASSESSMENT REQUIREMENTS</w:t>
      </w:r>
      <w:bookmarkEnd w:id="27"/>
      <w:bookmarkEnd w:id="28"/>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 Integrated Summative Assessment:</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5252560"/>
      <w:bookmarkStart w:id="30" w:name="_Toc497778026"/>
      <w:r w:rsidRPr="00A978A3">
        <w:rPr>
          <w:rFonts w:ascii="Century Gothic" w:hAnsi="Century Gothic"/>
          <w:b/>
          <w:bCs/>
          <w:sz w:val="40"/>
          <w:szCs w:val="40"/>
          <w:lang w:val="en-ZA"/>
        </w:rPr>
        <w:lastRenderedPageBreak/>
        <w:t>PROVIDER ACCREDITATION REQUIREMENTS FOR THE MODULE:</w:t>
      </w:r>
      <w:bookmarkEnd w:id="29"/>
      <w:bookmarkEnd w:id="30"/>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Physical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QCTO approved learning resources</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Human Resource Requirements: </w:t>
      </w:r>
    </w:p>
    <w:p w:rsidR="00A978A3" w:rsidRPr="00A978A3" w:rsidRDefault="00A978A3" w:rsidP="00A978A3">
      <w:pPr>
        <w:numPr>
          <w:ilvl w:val="0"/>
          <w:numId w:val="40"/>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Qualified welder with 5 year operational welding experience, and</w:t>
      </w:r>
    </w:p>
    <w:p w:rsidR="00A978A3" w:rsidRPr="00A978A3" w:rsidRDefault="00A978A3" w:rsidP="00A978A3">
      <w:pPr>
        <w:numPr>
          <w:ilvl w:val="0"/>
          <w:numId w:val="40"/>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the Welding Inspector, International Welding Practitioner or International Welding Specialist qualification, and</w:t>
      </w:r>
    </w:p>
    <w:p w:rsidR="00A978A3" w:rsidRPr="00A978A3" w:rsidRDefault="00A978A3" w:rsidP="00A978A3">
      <w:pPr>
        <w:numPr>
          <w:ilvl w:val="0"/>
          <w:numId w:val="40"/>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a qualification in occupational related training</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 xml:space="preserve"> </w:t>
      </w: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Legal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Compliance with occupational safety, health and environmental protection legislation</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Exemptions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None</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7C2DCB" w:rsidRPr="007C2DCB" w:rsidRDefault="007C2DCB" w:rsidP="007C2DCB">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7421185"/>
      <w:bookmarkStart w:id="32" w:name="_Hlk496225789"/>
      <w:bookmarkStart w:id="33" w:name="_Hlk497662028"/>
      <w:bookmarkStart w:id="34" w:name="_Hlk496234527"/>
      <w:r w:rsidRPr="007C2DCB">
        <w:rPr>
          <w:rFonts w:ascii="Century Gothic" w:hAnsi="Century Gothic"/>
          <w:b/>
          <w:bCs/>
          <w:sz w:val="40"/>
          <w:szCs w:val="40"/>
          <w:lang w:val="en-ZA"/>
        </w:rPr>
        <w:lastRenderedPageBreak/>
        <w:t>SECTION 1: KM-07-KT01: Early childhood administrative systems and processes (100%)</w:t>
      </w:r>
      <w:bookmarkEnd w:id="31"/>
    </w:p>
    <w:p w:rsidR="007C2DCB" w:rsidRPr="007C2DCB" w:rsidRDefault="007C2DCB" w:rsidP="007C2DCB">
      <w:pPr>
        <w:rPr>
          <w:rFonts w:ascii="Century Gothic" w:hAnsi="Century Gothic"/>
        </w:rPr>
      </w:pPr>
    </w:p>
    <w:p w:rsidR="007C2DCB" w:rsidRPr="007C2DCB" w:rsidRDefault="007C2DCB" w:rsidP="007C2DCB">
      <w:pPr>
        <w:rPr>
          <w:rFonts w:ascii="Century Gothic" w:hAnsi="Century Gothic"/>
          <w:b/>
          <w:sz w:val="40"/>
          <w:szCs w:val="40"/>
        </w:rPr>
      </w:pPr>
      <w:r w:rsidRPr="007C2DCB">
        <w:rPr>
          <w:rFonts w:ascii="Century Gothic" w:hAnsi="Century Gothic"/>
          <w:b/>
          <w:sz w:val="40"/>
          <w:szCs w:val="40"/>
        </w:rPr>
        <w:t xml:space="preserve">Learning Outcome </w:t>
      </w:r>
    </w:p>
    <w:p w:rsidR="007C2DCB" w:rsidRPr="007C2DCB" w:rsidRDefault="007C2DCB" w:rsidP="007C2DCB">
      <w:pPr>
        <w:rPr>
          <w:rFonts w:ascii="Century Gothic" w:hAnsi="Century Gothic"/>
        </w:rPr>
      </w:pPr>
    </w:p>
    <w:p w:rsidR="007C2DCB" w:rsidRPr="007C2DCB" w:rsidRDefault="007C2DCB" w:rsidP="007C2DCB">
      <w:pPr>
        <w:rPr>
          <w:rFonts w:ascii="Century Gothic" w:hAnsi="Century Gothic"/>
          <w:sz w:val="22"/>
          <w:szCs w:val="22"/>
        </w:rPr>
      </w:pPr>
      <w:r w:rsidRPr="007C2DCB">
        <w:rPr>
          <w:rFonts w:ascii="Century Gothic" w:hAnsi="Century Gothic"/>
          <w:sz w:val="22"/>
          <w:szCs w:val="22"/>
        </w:rPr>
        <w:t>At the end of this section, learners should cover:</w:t>
      </w:r>
    </w:p>
    <w:p w:rsidR="007C2DCB" w:rsidRPr="007C2DCB" w:rsidRDefault="007C2DCB" w:rsidP="007C2DCB">
      <w:pPr>
        <w:rPr>
          <w:rFonts w:ascii="Century Gothic" w:hAnsi="Century Gothic"/>
          <w:sz w:val="22"/>
          <w:szCs w:val="22"/>
        </w:rPr>
      </w:pPr>
    </w:p>
    <w:bookmarkEnd w:id="32"/>
    <w:p w:rsidR="007C2DCB" w:rsidRPr="007C2DCB" w:rsidRDefault="007C2DCB" w:rsidP="007C2DCB">
      <w:pPr>
        <w:numPr>
          <w:ilvl w:val="0"/>
          <w:numId w:val="41"/>
        </w:numPr>
        <w:spacing w:after="200" w:line="360" w:lineRule="auto"/>
        <w:contextualSpacing/>
        <w:jc w:val="both"/>
        <w:rPr>
          <w:rFonts w:ascii="Century Gothic" w:eastAsia="Calibri" w:hAnsi="Century Gothic" w:cs="Times New Roman"/>
          <w:color w:val="auto"/>
          <w:sz w:val="22"/>
          <w:szCs w:val="22"/>
          <w:lang w:val="en-US"/>
        </w:rPr>
      </w:pPr>
      <w:r w:rsidRPr="007C2DCB">
        <w:rPr>
          <w:rFonts w:ascii="Century Gothic" w:eastAsia="Calibri" w:hAnsi="Century Gothic" w:cs="Times New Roman"/>
          <w:color w:val="auto"/>
          <w:sz w:val="22"/>
          <w:szCs w:val="22"/>
          <w:lang w:val="en-US"/>
        </w:rPr>
        <w:t xml:space="preserve">KT0101 Requirements for registration </w:t>
      </w:r>
    </w:p>
    <w:p w:rsidR="007C2DCB" w:rsidRPr="007C2DCB" w:rsidRDefault="007C2DCB" w:rsidP="007C2DCB">
      <w:pPr>
        <w:numPr>
          <w:ilvl w:val="0"/>
          <w:numId w:val="41"/>
        </w:numPr>
        <w:spacing w:after="200" w:line="360" w:lineRule="auto"/>
        <w:contextualSpacing/>
        <w:jc w:val="both"/>
        <w:rPr>
          <w:rFonts w:ascii="Century Gothic" w:eastAsia="Calibri" w:hAnsi="Century Gothic" w:cs="Times New Roman"/>
          <w:color w:val="auto"/>
          <w:sz w:val="22"/>
          <w:szCs w:val="22"/>
          <w:lang w:val="en-US"/>
        </w:rPr>
      </w:pPr>
      <w:r w:rsidRPr="007C2DCB">
        <w:rPr>
          <w:rFonts w:ascii="Century Gothic" w:eastAsia="Calibri" w:hAnsi="Century Gothic" w:cs="Times New Roman"/>
          <w:color w:val="auto"/>
          <w:sz w:val="22"/>
          <w:szCs w:val="22"/>
          <w:lang w:val="en-US"/>
        </w:rPr>
        <w:t xml:space="preserve">KT0102 </w:t>
      </w:r>
      <w:bookmarkStart w:id="35" w:name="_Hlk497421049"/>
      <w:r w:rsidRPr="007C2DCB">
        <w:rPr>
          <w:rFonts w:ascii="Century Gothic" w:eastAsia="Calibri" w:hAnsi="Century Gothic" w:cs="Times New Roman"/>
          <w:color w:val="auto"/>
          <w:sz w:val="22"/>
          <w:szCs w:val="22"/>
          <w:lang w:val="en-US"/>
        </w:rPr>
        <w:t xml:space="preserve">Early childhood programme policies, procedures and records  </w:t>
      </w:r>
      <w:bookmarkEnd w:id="35"/>
    </w:p>
    <w:p w:rsidR="007C2DCB" w:rsidRPr="007C2DCB" w:rsidRDefault="007C2DCB" w:rsidP="007C2DCB">
      <w:pPr>
        <w:numPr>
          <w:ilvl w:val="0"/>
          <w:numId w:val="41"/>
        </w:numPr>
        <w:spacing w:after="200" w:line="360" w:lineRule="auto"/>
        <w:contextualSpacing/>
        <w:jc w:val="both"/>
        <w:rPr>
          <w:rFonts w:ascii="Century Gothic" w:eastAsia="Calibri" w:hAnsi="Century Gothic" w:cs="Times New Roman"/>
          <w:color w:val="auto"/>
          <w:sz w:val="22"/>
          <w:szCs w:val="22"/>
          <w:lang w:val="en-US"/>
        </w:rPr>
      </w:pPr>
      <w:r w:rsidRPr="007C2DCB">
        <w:rPr>
          <w:rFonts w:ascii="Century Gothic" w:eastAsia="Calibri" w:hAnsi="Century Gothic" w:cs="Times New Roman"/>
          <w:color w:val="auto"/>
          <w:sz w:val="22"/>
          <w:szCs w:val="22"/>
          <w:lang w:val="en-US"/>
        </w:rPr>
        <w:t xml:space="preserve">KT0103 Parent involvement initiatives in early childhood services </w:t>
      </w:r>
    </w:p>
    <w:p w:rsidR="007C2DCB" w:rsidRPr="007C2DCB" w:rsidRDefault="007C2DCB" w:rsidP="007C2DCB">
      <w:pPr>
        <w:numPr>
          <w:ilvl w:val="0"/>
          <w:numId w:val="41"/>
        </w:numPr>
        <w:spacing w:after="200" w:line="360" w:lineRule="auto"/>
        <w:contextualSpacing/>
        <w:jc w:val="both"/>
        <w:rPr>
          <w:rFonts w:ascii="Century Gothic" w:eastAsia="Calibri" w:hAnsi="Century Gothic" w:cs="Times New Roman"/>
          <w:color w:val="auto"/>
          <w:sz w:val="22"/>
          <w:szCs w:val="22"/>
          <w:lang w:val="en-ZA"/>
        </w:rPr>
      </w:pPr>
      <w:r w:rsidRPr="007C2DCB">
        <w:rPr>
          <w:rFonts w:ascii="Century Gothic" w:eastAsia="Calibri" w:hAnsi="Century Gothic" w:cs="Times New Roman"/>
          <w:color w:val="auto"/>
          <w:sz w:val="22"/>
          <w:szCs w:val="22"/>
          <w:lang w:val="en-US"/>
        </w:rPr>
        <w:t>KT0104 Types of administrative information and documentation</w:t>
      </w:r>
      <w:bookmarkEnd w:id="33"/>
    </w:p>
    <w:p w:rsidR="007C2DCB" w:rsidRPr="007C2DCB" w:rsidRDefault="007C2DCB" w:rsidP="007C2DCB">
      <w:pPr>
        <w:spacing w:line="360" w:lineRule="auto"/>
        <w:jc w:val="both"/>
        <w:rPr>
          <w:rFonts w:ascii="Century Gothic" w:hAnsi="Century Gothic"/>
          <w:sz w:val="22"/>
          <w:szCs w:val="22"/>
          <w:lang w:val="en-ZA"/>
        </w:rPr>
      </w:pPr>
      <w:bookmarkStart w:id="36" w:name="_Toc36100927"/>
    </w:p>
    <w:bookmarkEnd w:id="36"/>
    <w:p w:rsidR="007C2DCB" w:rsidRPr="007C2DCB" w:rsidRDefault="007C2DCB" w:rsidP="007C2DCB">
      <w:pPr>
        <w:rPr>
          <w:rFonts w:ascii="Century Gothic" w:hAnsi="Century Gothic"/>
          <w:lang w:val="en-ZA"/>
        </w:rPr>
      </w:pPr>
    </w:p>
    <w:p w:rsidR="007C2DCB" w:rsidRPr="007C2DCB" w:rsidRDefault="007C2DCB" w:rsidP="007C2DCB">
      <w:pPr>
        <w:rPr>
          <w:rFonts w:ascii="Century Gothic" w:hAnsi="Century Gothic"/>
          <w:lang w:val="en-ZA"/>
        </w:rPr>
      </w:pPr>
    </w:p>
    <w:p w:rsidR="007C2DCB" w:rsidRPr="007C2DCB" w:rsidRDefault="007C2DCB" w:rsidP="007C2DCB">
      <w:pPr>
        <w:rPr>
          <w:rFonts w:ascii="Century Gothic" w:hAnsi="Century Gothic"/>
          <w:lang w:val="en-ZA"/>
        </w:rPr>
      </w:pPr>
    </w:p>
    <w:p w:rsidR="007C2DCB" w:rsidRPr="007C2DCB" w:rsidRDefault="007C2DCB" w:rsidP="007C2DCB">
      <w:pPr>
        <w:spacing w:line="360" w:lineRule="auto"/>
        <w:jc w:val="both"/>
        <w:rPr>
          <w:rFonts w:ascii="Century Gothic" w:hAnsi="Century Gothic"/>
          <w:b/>
          <w:lang w:val="en-ZA"/>
        </w:rPr>
      </w:pPr>
      <w:r w:rsidRPr="007C2DCB">
        <w:rPr>
          <w:rFonts w:ascii="Century Gothic" w:hAnsi="Century Gothic"/>
          <w:b/>
          <w:lang w:val="en-ZA"/>
        </w:rPr>
        <w:t xml:space="preserve">SUMMATIVE ASSESSMENT </w:t>
      </w: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sz w:val="22"/>
          <w:szCs w:val="22"/>
          <w:lang w:val="en-ZA"/>
        </w:rPr>
      </w:pPr>
      <w:r w:rsidRPr="007C2DCB">
        <w:rPr>
          <w:rFonts w:ascii="Century Gothic" w:hAnsi="Century Gothic"/>
          <w:sz w:val="22"/>
          <w:szCs w:val="22"/>
          <w:lang w:val="en-ZA"/>
        </w:rPr>
        <w:t xml:space="preserve"> IAC0101 Outline the steps involved in the registration process of the early childhood development site and programme  </w:t>
      </w: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Facilities and General Accommodation Requirements</w:t>
      </w:r>
    </w:p>
    <w:p w:rsidR="007C2DCB" w:rsidRPr="007C2DCB" w:rsidRDefault="007C2DCB" w:rsidP="007C2DCB">
      <w:pPr>
        <w:spacing w:line="360" w:lineRule="auto"/>
        <w:jc w:val="both"/>
        <w:rPr>
          <w:rFonts w:ascii="Century Gothic" w:hAnsi="Century Gothic"/>
          <w:color w:val="FF0000"/>
          <w:sz w:val="22"/>
          <w:szCs w:val="22"/>
          <w:lang w:val="en-ZA"/>
        </w:rPr>
      </w:pPr>
      <w:r w:rsidRPr="007C2DCB">
        <w:rPr>
          <w:rFonts w:ascii="Century Gothic" w:hAnsi="Century Gothic"/>
          <w:color w:val="FF0000"/>
          <w:sz w:val="22"/>
          <w:szCs w:val="22"/>
          <w:lang w:val="en-ZA"/>
        </w:rPr>
        <w:t>There are many logistics to consider when creating an ECD facility that meets South African registration requirements. Most of the requirements focus on the ratio of the number equipment with respect to the number of children being served. First, there are requirements for bathroom facilities. There must be one toilette and one washbasin or sink for every 20 children. Kitchens or areas used to prepare food must be separated by, at least, a partition if not in a separate room all together. Within the kitchen area there must be a way to boil water for sterilization and to cook food. It is suggested that the floors be washable or have a washable covering. There should also be safe storage for all necessary equipment.</w:t>
      </w:r>
    </w:p>
    <w:p w:rsidR="007C2DCB" w:rsidRPr="007C2DCB" w:rsidRDefault="007C2DCB" w:rsidP="007C2DCB">
      <w:pPr>
        <w:spacing w:line="360" w:lineRule="auto"/>
        <w:jc w:val="both"/>
        <w:rPr>
          <w:rFonts w:ascii="Century Gothic" w:hAnsi="Century Gothic"/>
          <w:color w:val="FF0000"/>
          <w:sz w:val="22"/>
          <w:szCs w:val="22"/>
          <w:lang w:val="en-ZA"/>
        </w:rPr>
      </w:pPr>
    </w:p>
    <w:p w:rsidR="007C2DCB" w:rsidRPr="007C2DCB" w:rsidRDefault="007C2DCB" w:rsidP="007C2DCB">
      <w:pPr>
        <w:spacing w:line="360" w:lineRule="auto"/>
        <w:jc w:val="both"/>
        <w:rPr>
          <w:rFonts w:ascii="Century Gothic" w:hAnsi="Century Gothic"/>
          <w:color w:val="FF0000"/>
          <w:sz w:val="22"/>
          <w:szCs w:val="22"/>
          <w:lang w:val="en-ZA"/>
        </w:rPr>
      </w:pPr>
      <w:r w:rsidRPr="007C2DCB">
        <w:rPr>
          <w:rFonts w:ascii="Century Gothic" w:hAnsi="Century Gothic"/>
          <w:color w:val="FF0000"/>
          <w:sz w:val="22"/>
          <w:szCs w:val="22"/>
          <w:lang w:val="en-ZA"/>
        </w:rPr>
        <w:t xml:space="preserve">Indoor and outdoor space requirements are mainly based on area per child. Indoors there must be 1.5 square metres per baby and 2 square metres for toddlers. Our </w:t>
      </w:r>
      <w:r w:rsidRPr="007C2DCB">
        <w:rPr>
          <w:rFonts w:ascii="Century Gothic" w:hAnsi="Century Gothic"/>
          <w:color w:val="FF0000"/>
          <w:sz w:val="22"/>
          <w:szCs w:val="22"/>
          <w:lang w:val="en-ZA"/>
        </w:rPr>
        <w:lastRenderedPageBreak/>
        <w:t>group did not find any requirements for older preschool children for indoor play. For children of all age groups it is required that there is 1 square metre per child for outdoor play space. Outdoor play area must be created for the first 30 children and may be used by groups at different times to accommodate larger numbers of students. There must be an area for children who are sick. This may be within a classroom but is suggested to be in an office if available. In order to comply with the Department of Social Development, the many regulations above must be met. The section of the table given by the Department of Social Development</w:t>
      </w:r>
    </w:p>
    <w:p w:rsidR="007C2DCB" w:rsidRPr="007C2DCB" w:rsidRDefault="007C2DCB" w:rsidP="007C2DCB">
      <w:pPr>
        <w:spacing w:line="360" w:lineRule="auto"/>
        <w:jc w:val="both"/>
        <w:rPr>
          <w:rFonts w:ascii="Century Gothic" w:hAnsi="Century Gothic"/>
          <w:sz w:val="22"/>
          <w:szCs w:val="22"/>
          <w:lang w:val="en-ZA"/>
        </w:rPr>
      </w:pPr>
    </w:p>
    <w:p w:rsidR="007C2DCB" w:rsidRPr="007C2DCB" w:rsidRDefault="007C2DCB" w:rsidP="007C2DCB">
      <w:pPr>
        <w:spacing w:line="360" w:lineRule="auto"/>
        <w:jc w:val="both"/>
        <w:rPr>
          <w:rFonts w:ascii="Century Gothic" w:hAnsi="Century Gothic"/>
          <w:sz w:val="22"/>
          <w:szCs w:val="22"/>
          <w:lang w:val="en-ZA"/>
        </w:rPr>
      </w:pPr>
      <w:r w:rsidRPr="007C2DCB">
        <w:rPr>
          <w:rFonts w:ascii="Century Gothic" w:hAnsi="Century Gothic"/>
          <w:sz w:val="22"/>
          <w:szCs w:val="22"/>
          <w:lang w:val="en-ZA"/>
        </w:rPr>
        <w:t xml:space="preserve"> IAC0103 Identify required programme and site policies, procedures and records required for compliance </w:t>
      </w: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outlineLvl w:val="1"/>
        <w:rPr>
          <w:rFonts w:ascii="Century Gothic" w:hAnsi="Century Gothic"/>
          <w:i/>
          <w:color w:val="FF0000"/>
          <w:sz w:val="22"/>
          <w:szCs w:val="22"/>
        </w:rPr>
      </w:pPr>
      <w:r w:rsidRPr="007C2DCB">
        <w:rPr>
          <w:rFonts w:ascii="Century Gothic" w:hAnsi="Century Gothic"/>
          <w:i/>
          <w:color w:val="FF0000"/>
          <w:sz w:val="22"/>
          <w:szCs w:val="22"/>
        </w:rPr>
        <w:t xml:space="preserve">The legal implications of providing responsible care </w:t>
      </w:r>
    </w:p>
    <w:p w:rsidR="007C2DCB" w:rsidRPr="007C2DCB" w:rsidRDefault="007C2DCB" w:rsidP="007C2DCB">
      <w:pPr>
        <w:spacing w:line="360" w:lineRule="auto"/>
        <w:jc w:val="both"/>
        <w:outlineLvl w:val="1"/>
        <w:rPr>
          <w:rFonts w:ascii="Century Gothic" w:hAnsi="Century Gothic"/>
          <w:color w:val="FF0000"/>
          <w:sz w:val="22"/>
          <w:szCs w:val="22"/>
        </w:rPr>
      </w:pPr>
    </w:p>
    <w:p w:rsidR="007C2DCB" w:rsidRPr="007C2DCB" w:rsidRDefault="007C2DCB" w:rsidP="007C2DCB">
      <w:pPr>
        <w:spacing w:line="360" w:lineRule="auto"/>
        <w:jc w:val="both"/>
        <w:outlineLvl w:val="1"/>
        <w:rPr>
          <w:rFonts w:ascii="Century Gothic" w:hAnsi="Century Gothic"/>
          <w:color w:val="FF0000"/>
          <w:sz w:val="22"/>
          <w:szCs w:val="22"/>
        </w:rPr>
      </w:pPr>
      <w:r w:rsidRPr="007C2DCB">
        <w:rPr>
          <w:rFonts w:ascii="Century Gothic" w:hAnsi="Century Gothic"/>
          <w:color w:val="FF0000"/>
          <w:sz w:val="22"/>
          <w:szCs w:val="22"/>
        </w:rPr>
        <w:t>There are a number of legal instruments and guidelines that apply to children in South Africa and which describe the responsibilities of ECD workers. If these legal instruments and guidelines are not followed, and there is an accident or injury, you or your centre is legally responsible for it. You can be sued for negligence or charged with a criminal offence if there is an injury. Below is a list of these legal instruments.</w:t>
      </w:r>
    </w:p>
    <w:p w:rsidR="007C2DCB" w:rsidRPr="007C2DCB" w:rsidRDefault="007C2DCB" w:rsidP="007C2DCB">
      <w:pPr>
        <w:spacing w:line="360" w:lineRule="auto"/>
        <w:jc w:val="both"/>
        <w:outlineLvl w:val="1"/>
        <w:rPr>
          <w:rFonts w:ascii="Century Gothic" w:hAnsi="Century Gothic"/>
          <w:color w:val="FF0000"/>
          <w:sz w:val="22"/>
          <w:szCs w:val="22"/>
        </w:rPr>
      </w:pPr>
    </w:p>
    <w:p w:rsidR="007C2DCB" w:rsidRPr="007C2DCB" w:rsidRDefault="007C2DCB" w:rsidP="007C2DCB">
      <w:pPr>
        <w:spacing w:line="360" w:lineRule="auto"/>
        <w:jc w:val="both"/>
        <w:outlineLvl w:val="1"/>
        <w:rPr>
          <w:rFonts w:ascii="Century Gothic" w:hAnsi="Century Gothic"/>
          <w:b/>
          <w:color w:val="FF0000"/>
          <w:sz w:val="22"/>
          <w:szCs w:val="22"/>
        </w:rPr>
      </w:pPr>
      <w:r w:rsidRPr="007C2DCB">
        <w:rPr>
          <w:rFonts w:ascii="Century Gothic" w:hAnsi="Century Gothic"/>
          <w:b/>
          <w:color w:val="FF0000"/>
          <w:sz w:val="22"/>
          <w:szCs w:val="22"/>
        </w:rPr>
        <w:t xml:space="preserve">The South African Constitution </w:t>
      </w:r>
    </w:p>
    <w:p w:rsidR="007C2DCB" w:rsidRPr="007C2DCB" w:rsidRDefault="007C2DCB" w:rsidP="007C2DCB">
      <w:pPr>
        <w:spacing w:line="360" w:lineRule="auto"/>
        <w:jc w:val="both"/>
        <w:outlineLvl w:val="1"/>
        <w:rPr>
          <w:rFonts w:ascii="Century Gothic" w:hAnsi="Century Gothic"/>
          <w:color w:val="FF0000"/>
          <w:sz w:val="22"/>
          <w:szCs w:val="22"/>
        </w:rPr>
      </w:pPr>
      <w:r w:rsidRPr="007C2DCB">
        <w:rPr>
          <w:rFonts w:ascii="Century Gothic" w:hAnsi="Century Gothic"/>
          <w:color w:val="FF0000"/>
          <w:sz w:val="22"/>
          <w:szCs w:val="22"/>
        </w:rPr>
        <w:t>The Constitution is the highest law in the country. All other laws must follow it. The Constitution contains a Bill of Rights that sets out the rights of every person in South Africa. It says that every child has the right to nutrition, shelter, basic health care and social services. Every child also has the right to be protected from maltreatment, neglect, abuse or degradation.</w:t>
      </w:r>
    </w:p>
    <w:p w:rsidR="007C2DCB" w:rsidRPr="007C2DCB" w:rsidRDefault="007C2DCB" w:rsidP="007C2DCB">
      <w:pPr>
        <w:rPr>
          <w:rFonts w:ascii="Century Gothic" w:hAnsi="Century Gothic"/>
          <w:color w:val="FF0000"/>
          <w:lang w:val="en-ZA"/>
        </w:rPr>
      </w:pPr>
    </w:p>
    <w:p w:rsidR="007C2DCB" w:rsidRPr="007C2DCB" w:rsidRDefault="007C2DCB" w:rsidP="007C2DCB">
      <w:pPr>
        <w:rPr>
          <w:rFonts w:ascii="Century Gothic" w:hAnsi="Century Gothic"/>
          <w:color w:val="FF0000"/>
          <w:lang w:val="en-ZA"/>
        </w:rPr>
      </w:pPr>
    </w:p>
    <w:p w:rsidR="007C2DCB" w:rsidRPr="007C2DCB" w:rsidRDefault="007C2DCB" w:rsidP="007C2DCB">
      <w:pPr>
        <w:rPr>
          <w:rFonts w:ascii="Century Gothic" w:hAnsi="Century Gothic"/>
          <w:color w:val="FF0000"/>
          <w:lang w:val="en-ZA"/>
        </w:rPr>
      </w:pPr>
      <w:r w:rsidRPr="007C2DCB">
        <w:rPr>
          <w:rFonts w:ascii="Century Gothic" w:hAnsi="Century Gothic"/>
          <w:noProof/>
          <w:color w:val="FF0000"/>
          <w:lang w:val="en-ZA"/>
        </w:rPr>
        <w:lastRenderedPageBreak/>
        <w:drawing>
          <wp:inline distT="0" distB="0" distL="0" distR="0" wp14:anchorId="448C53E2" wp14:editId="567ACEE8">
            <wp:extent cx="2124075" cy="302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4075" cy="3028315"/>
                    </a:xfrm>
                    <a:prstGeom prst="rect">
                      <a:avLst/>
                    </a:prstGeom>
                    <a:noFill/>
                  </pic:spPr>
                </pic:pic>
              </a:graphicData>
            </a:graphic>
          </wp:inline>
        </w:drawing>
      </w:r>
    </w:p>
    <w:p w:rsidR="007C2DCB" w:rsidRPr="007C2DCB" w:rsidRDefault="007C2DCB" w:rsidP="007C2DCB">
      <w:pPr>
        <w:rPr>
          <w:rFonts w:ascii="Century Gothic" w:hAnsi="Century Gothic"/>
          <w:color w:val="FF0000"/>
          <w:lang w:val="en-ZA"/>
        </w:rPr>
      </w:pPr>
    </w:p>
    <w:p w:rsidR="007C2DCB" w:rsidRPr="007C2DCB" w:rsidRDefault="007C2DCB" w:rsidP="007C2DCB">
      <w:pPr>
        <w:rPr>
          <w:rFonts w:ascii="Century Gothic" w:hAnsi="Century Gothic"/>
          <w:color w:val="FF0000"/>
          <w:lang w:val="en-ZA"/>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b/>
          <w:color w:val="FF0000"/>
          <w:sz w:val="22"/>
          <w:szCs w:val="22"/>
          <w:lang w:val="en-US"/>
        </w:rPr>
        <w:t xml:space="preserve">The White Paper on Education and Training </w:t>
      </w: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color w:val="FF0000"/>
          <w:sz w:val="22"/>
          <w:szCs w:val="22"/>
        </w:rPr>
        <w:t>The White Paper says that young children between the ages of 0–3 years have the right to be protected from physical danger, and that they have the right to adequate nutrition and health care.</w:t>
      </w:r>
    </w:p>
    <w:p w:rsidR="007C2DCB" w:rsidRPr="007C2DCB" w:rsidRDefault="007C2DCB" w:rsidP="007C2DCB">
      <w:pPr>
        <w:spacing w:line="360" w:lineRule="auto"/>
        <w:jc w:val="both"/>
        <w:rPr>
          <w:rFonts w:ascii="Century Gothic" w:hAnsi="Century Gothic"/>
          <w:b/>
          <w:bCs/>
          <w:color w:val="FF0000"/>
          <w:sz w:val="22"/>
          <w:szCs w:val="22"/>
          <w:lang w:val="en-US"/>
        </w:rPr>
      </w:pPr>
    </w:p>
    <w:p w:rsidR="007C2DCB" w:rsidRPr="007C2DCB" w:rsidRDefault="007C2DCB" w:rsidP="007C2DCB">
      <w:pPr>
        <w:spacing w:line="360" w:lineRule="auto"/>
        <w:jc w:val="both"/>
        <w:rPr>
          <w:rFonts w:ascii="Century Gothic" w:hAnsi="Century Gothic"/>
          <w:color w:val="FF0000"/>
          <w:sz w:val="22"/>
          <w:szCs w:val="22"/>
        </w:rPr>
      </w:pPr>
      <w:r w:rsidRPr="007C2DCB">
        <w:rPr>
          <w:rFonts w:ascii="Century Gothic" w:hAnsi="Century Gothic"/>
          <w:b/>
          <w:bCs/>
          <w:color w:val="FF0000"/>
          <w:sz w:val="22"/>
          <w:szCs w:val="22"/>
          <w:lang w:val="en-US"/>
        </w:rPr>
        <w:t>The Interim Policy for Early Childhood Development (1996)</w:t>
      </w:r>
      <w:r w:rsidRPr="007C2DCB">
        <w:rPr>
          <w:rFonts w:ascii="Century Gothic" w:hAnsi="Century Gothic"/>
          <w:b/>
          <w:bCs/>
          <w:color w:val="FF0000"/>
          <w:sz w:val="22"/>
          <w:szCs w:val="22"/>
          <w:lang w:val="en-US"/>
        </w:rPr>
        <w:br/>
      </w:r>
    </w:p>
    <w:p w:rsidR="007C2DCB" w:rsidRPr="007C2DCB" w:rsidRDefault="007C2DCB" w:rsidP="007C2DCB">
      <w:pPr>
        <w:spacing w:line="360" w:lineRule="auto"/>
        <w:jc w:val="both"/>
        <w:rPr>
          <w:rFonts w:ascii="Century Gothic" w:hAnsi="Century Gothic"/>
          <w:color w:val="FF0000"/>
          <w:sz w:val="22"/>
          <w:szCs w:val="22"/>
        </w:rPr>
      </w:pPr>
      <w:r w:rsidRPr="007C2DCB">
        <w:rPr>
          <w:rFonts w:ascii="Century Gothic" w:hAnsi="Century Gothic"/>
          <w:color w:val="FF0000"/>
          <w:sz w:val="22"/>
          <w:szCs w:val="22"/>
        </w:rPr>
        <w:t>This policy document says that the ECD centre is responsible for setting up and maintaining a safe and healthy learning environment. The centre is responsible for</w:t>
      </w:r>
      <w:r w:rsidRPr="007C2DCB">
        <w:rPr>
          <w:rFonts w:ascii="Century Gothic" w:hAnsi="Century Gothic"/>
          <w:bCs/>
          <w:color w:val="FF0000"/>
          <w:sz w:val="22"/>
          <w:szCs w:val="22"/>
          <w:lang w:val="en-US"/>
        </w:rPr>
        <w:t>:</w:t>
      </w:r>
    </w:p>
    <w:p w:rsidR="007C2DCB" w:rsidRPr="007C2DCB" w:rsidRDefault="007C2DCB" w:rsidP="007C2DCB">
      <w:pPr>
        <w:spacing w:line="360" w:lineRule="auto"/>
        <w:jc w:val="both"/>
        <w:rPr>
          <w:rFonts w:ascii="Century Gothic" w:hAnsi="Century Gothic"/>
          <w:bCs/>
          <w:color w:val="FF0000"/>
          <w:sz w:val="22"/>
          <w:szCs w:val="22"/>
          <w:lang w:val="en-US"/>
        </w:rPr>
      </w:pP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promoting the physical and emotional well-being of children;</w:t>
      </w: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ensuring access to clean water, adequate nutrition, sanitation, shelter and protection;</w:t>
      </w: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making informed choices that will contribute to the physical, mental, emotional, social, spiritual and educational well-being of children;</w:t>
      </w: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encouraging good health and safety practices in the work/play environment;</w:t>
      </w: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demonstrating the daily routines for children, including supervision/provision of meals, toilet practices, hygiene, rest/sleep periods;</w:t>
      </w:r>
    </w:p>
    <w:p w:rsidR="007C2DCB" w:rsidRPr="007C2DCB" w:rsidRDefault="007C2DCB" w:rsidP="007C2DCB">
      <w:pPr>
        <w:numPr>
          <w:ilvl w:val="0"/>
          <w:numId w:val="47"/>
        </w:num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 xml:space="preserve">developing children's awareness of their own capabilities and what is healthy and safe for them to do; </w:t>
      </w:r>
    </w:p>
    <w:p w:rsidR="007C2DCB" w:rsidRPr="007C2DCB" w:rsidRDefault="007C2DCB" w:rsidP="007C2DCB">
      <w:pPr>
        <w:numPr>
          <w:ilvl w:val="0"/>
          <w:numId w:val="47"/>
        </w:numPr>
        <w:spacing w:line="360" w:lineRule="auto"/>
        <w:jc w:val="both"/>
        <w:rPr>
          <w:rFonts w:ascii="Century Gothic" w:hAnsi="Century Gothic"/>
          <w:b/>
          <w:color w:val="FF0000"/>
          <w:sz w:val="22"/>
          <w:szCs w:val="22"/>
          <w:lang w:val="en-US"/>
        </w:rPr>
      </w:pPr>
      <w:r w:rsidRPr="007C2DCB">
        <w:rPr>
          <w:rFonts w:ascii="Century Gothic" w:hAnsi="Century Gothic"/>
          <w:color w:val="FF0000"/>
          <w:sz w:val="22"/>
          <w:szCs w:val="22"/>
          <w:lang w:val="en-US"/>
        </w:rPr>
        <w:lastRenderedPageBreak/>
        <w:t xml:space="preserve">ensuring that the abuse of children in the learning environment, whether physical, verbal or emotional, does not occur, and countering such abuse where it occurs in the community; and </w:t>
      </w:r>
    </w:p>
    <w:p w:rsidR="007C2DCB" w:rsidRPr="007C2DCB" w:rsidRDefault="007C2DCB" w:rsidP="007C2DCB">
      <w:pPr>
        <w:numPr>
          <w:ilvl w:val="0"/>
          <w:numId w:val="47"/>
        </w:numPr>
        <w:spacing w:line="360" w:lineRule="auto"/>
        <w:jc w:val="both"/>
        <w:rPr>
          <w:rFonts w:ascii="Century Gothic" w:hAnsi="Century Gothic"/>
          <w:b/>
          <w:color w:val="FF0000"/>
          <w:sz w:val="22"/>
          <w:szCs w:val="22"/>
          <w:lang w:val="en-US"/>
        </w:rPr>
      </w:pPr>
      <w:r w:rsidRPr="007C2DCB">
        <w:rPr>
          <w:rFonts w:ascii="Century Gothic" w:hAnsi="Century Gothic"/>
          <w:color w:val="FF0000"/>
          <w:sz w:val="22"/>
          <w:szCs w:val="22"/>
          <w:lang w:val="en-US"/>
        </w:rPr>
        <w:t>demonstrating and encouraging respect for and protection of the environment that arises naturally through practical involvement with the environment.</w:t>
      </w:r>
    </w:p>
    <w:p w:rsidR="007C2DCB" w:rsidRPr="007C2DCB" w:rsidRDefault="007C2DCB" w:rsidP="007C2DCB">
      <w:pPr>
        <w:rPr>
          <w:rFonts w:ascii="Century Gothic" w:hAnsi="Century Gothic"/>
          <w:color w:val="FF0000"/>
          <w:sz w:val="22"/>
          <w:szCs w:val="22"/>
          <w:lang w:val="en-ZA"/>
        </w:rPr>
      </w:pPr>
    </w:p>
    <w:p w:rsidR="007C2DCB" w:rsidRPr="007C2DCB" w:rsidRDefault="007C2DCB" w:rsidP="007C2DCB">
      <w:pPr>
        <w:rPr>
          <w:rFonts w:ascii="Century Gothic" w:hAnsi="Century Gothic"/>
          <w:color w:val="FF0000"/>
          <w:lang w:val="en-ZA"/>
        </w:rPr>
      </w:pPr>
    </w:p>
    <w:p w:rsidR="007C2DCB" w:rsidRPr="007C2DCB" w:rsidRDefault="007C2DCB" w:rsidP="007C2DCB">
      <w:pPr>
        <w:rPr>
          <w:rFonts w:ascii="Century Gothic" w:hAnsi="Century Gothic"/>
          <w:color w:val="FF0000"/>
          <w:lang w:val="en-ZA"/>
        </w:rPr>
      </w:pPr>
    </w:p>
    <w:p w:rsidR="007C2DCB" w:rsidRPr="007C2DCB" w:rsidRDefault="007C2DCB" w:rsidP="007C2DCB">
      <w:pPr>
        <w:rPr>
          <w:rFonts w:ascii="Century Gothic" w:hAnsi="Century Gothic"/>
          <w:color w:val="FF0000"/>
          <w:lang w:val="en-ZA"/>
        </w:rPr>
      </w:pPr>
      <w:r w:rsidRPr="007C2DCB">
        <w:rPr>
          <w:rFonts w:ascii="Century Gothic" w:hAnsi="Century Gothic"/>
          <w:noProof/>
          <w:color w:val="FF0000"/>
          <w:lang w:val="en-ZA"/>
        </w:rPr>
        <w:drawing>
          <wp:inline distT="0" distB="0" distL="0" distR="0" wp14:anchorId="406070E6" wp14:editId="4ED8007E">
            <wp:extent cx="2657475"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7475" cy="2694940"/>
                    </a:xfrm>
                    <a:prstGeom prst="rect">
                      <a:avLst/>
                    </a:prstGeom>
                    <a:noFill/>
                  </pic:spPr>
                </pic:pic>
              </a:graphicData>
            </a:graphic>
          </wp:inline>
        </w:drawing>
      </w:r>
    </w:p>
    <w:p w:rsidR="007C2DCB" w:rsidRPr="007C2DCB" w:rsidRDefault="007C2DCB" w:rsidP="007C2DCB">
      <w:pPr>
        <w:rPr>
          <w:rFonts w:ascii="Century Gothic" w:hAnsi="Century Gothic"/>
          <w:color w:val="FF0000"/>
          <w:lang w:val="en-ZA"/>
        </w:rPr>
      </w:pPr>
    </w:p>
    <w:p w:rsidR="007C2DCB" w:rsidRPr="007C2DCB" w:rsidRDefault="007C2DCB" w:rsidP="007C2DCB">
      <w:pPr>
        <w:spacing w:line="360" w:lineRule="auto"/>
        <w:jc w:val="both"/>
        <w:rPr>
          <w:rFonts w:ascii="Century Gothic" w:hAnsi="Century Gothic"/>
          <w:color w:val="FF0000"/>
          <w:sz w:val="22"/>
          <w:szCs w:val="22"/>
          <w:lang w:val="en-ZA"/>
        </w:rPr>
      </w:pPr>
      <w:r w:rsidRPr="007C2DCB">
        <w:rPr>
          <w:rFonts w:ascii="Century Gothic" w:hAnsi="Century Gothic"/>
          <w:color w:val="FF0000"/>
          <w:sz w:val="22"/>
          <w:szCs w:val="22"/>
          <w:lang w:val="en-ZA"/>
        </w:rPr>
        <w:t>By encouraging children to become practically involved in the environment, you can help them understand why it is important to respect and protect the environment</w:t>
      </w:r>
    </w:p>
    <w:p w:rsidR="007C2DCB" w:rsidRPr="007C2DCB" w:rsidRDefault="007C2DCB" w:rsidP="007C2DCB">
      <w:pPr>
        <w:rPr>
          <w:rFonts w:ascii="Century Gothic" w:hAnsi="Century Gothic"/>
          <w:color w:val="FF0000"/>
          <w:lang w:val="en-ZA"/>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b/>
          <w:color w:val="FF0000"/>
          <w:sz w:val="22"/>
          <w:szCs w:val="22"/>
          <w:lang w:val="en-US"/>
        </w:rPr>
        <w:t>The Children’s Act 13 of 2005</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This act says that children have the right to the care of their family, parents or other appropriate care. They have a right to be protected from abuse, neglect, maltreatment and degradation; and they have a right to social services. The act also promotes equality and protection for children with disabilities.</w:t>
      </w:r>
    </w:p>
    <w:p w:rsidR="007C2DCB" w:rsidRPr="007C2DCB" w:rsidRDefault="007C2DCB" w:rsidP="007C2DCB">
      <w:pPr>
        <w:spacing w:line="360" w:lineRule="auto"/>
        <w:jc w:val="both"/>
        <w:rPr>
          <w:rFonts w:ascii="Century Gothic" w:hAnsi="Century Gothic"/>
          <w:b/>
          <w:color w:val="FF0000"/>
          <w:sz w:val="22"/>
          <w:szCs w:val="22"/>
          <w:lang w:val="en-US"/>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b/>
          <w:color w:val="FF0000"/>
          <w:sz w:val="22"/>
          <w:szCs w:val="22"/>
          <w:lang w:val="en-US"/>
        </w:rPr>
        <w:t>The White Paper on Health (1997)</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 xml:space="preserve">This White Paper is concerned with environmental health and the right of children to safe water and sanitation. It also says that communicable diseases, such as TB, HIV/AIDS, measles, mumps, rubella, etc, must be adequately controlled. </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b/>
          <w:color w:val="FF0000"/>
          <w:sz w:val="22"/>
          <w:szCs w:val="22"/>
          <w:lang w:val="en-US"/>
        </w:rPr>
        <w:t>The National Health Act 61 of 2003</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This act says that children have a right to basic healthcare and nutrition.</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b/>
          <w:color w:val="FF0000"/>
          <w:sz w:val="22"/>
          <w:szCs w:val="22"/>
          <w:lang w:val="en-US"/>
        </w:rPr>
        <w:t>Technical Guidelines on Immunisation in South Africa (1995)</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color w:val="FF0000"/>
          <w:sz w:val="22"/>
          <w:szCs w:val="22"/>
          <w:lang w:val="en-US"/>
        </w:rPr>
      </w:pPr>
      <w:r w:rsidRPr="007C2DCB">
        <w:rPr>
          <w:rFonts w:ascii="Century Gothic" w:hAnsi="Century Gothic"/>
          <w:color w:val="FF0000"/>
          <w:sz w:val="22"/>
          <w:szCs w:val="22"/>
          <w:lang w:val="en-US"/>
        </w:rPr>
        <w:t>The government has prioritised children under five years of age as a target for immunisation and nutritional intervention.</w:t>
      </w: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b/>
          <w:lang w:val="en-ZA"/>
        </w:rPr>
      </w:pPr>
      <w:r w:rsidRPr="007C2DCB">
        <w:rPr>
          <w:rFonts w:ascii="Century Gothic" w:hAnsi="Century Gothic"/>
          <w:b/>
          <w:lang w:val="en-ZA"/>
        </w:rPr>
        <w:t xml:space="preserve">FORMATIVE  ASSESSMENT </w:t>
      </w: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sz w:val="22"/>
          <w:szCs w:val="22"/>
          <w:lang w:val="en-ZA"/>
        </w:rPr>
      </w:pPr>
      <w:r w:rsidRPr="007C2DCB">
        <w:rPr>
          <w:rFonts w:ascii="Century Gothic" w:hAnsi="Century Gothic"/>
          <w:sz w:val="22"/>
          <w:szCs w:val="22"/>
          <w:lang w:val="en-ZA"/>
        </w:rPr>
        <w:t xml:space="preserve"> IAC0102 Identify and describe the various parent initiatives used in own work setting, including support for parents of children experiencing barriers to learning </w:t>
      </w: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b/>
          <w:iCs/>
          <w:color w:val="FF0000"/>
          <w:sz w:val="22"/>
          <w:szCs w:val="22"/>
          <w:lang w:val="en-ZA"/>
        </w:rPr>
      </w:pPr>
      <w:r w:rsidRPr="007C2DCB">
        <w:rPr>
          <w:rFonts w:ascii="Century Gothic" w:hAnsi="Century Gothic"/>
          <w:b/>
          <w:iCs/>
          <w:color w:val="FF0000"/>
          <w:sz w:val="22"/>
          <w:szCs w:val="22"/>
          <w:lang w:val="en-ZA"/>
        </w:rPr>
        <w:t>Parents or families as partners with the ECD centre</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 xml:space="preserve">Extensive studies have shown that parent or family involvement helps children cope better at their ECD centre. When ECD centres involve parents in programmes that are well-structured, it benefits both the children and adults involved. </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With regular parent or family involvement, a child will experience:</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numPr>
          <w:ilvl w:val="0"/>
          <w:numId w:val="48"/>
        </w:numPr>
        <w:tabs>
          <w:tab w:val="num" w:pos="540"/>
        </w:tabs>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improved achievement and motivation;</w:t>
      </w:r>
    </w:p>
    <w:p w:rsidR="007C2DCB" w:rsidRPr="007C2DCB" w:rsidRDefault="007C2DCB" w:rsidP="007C2DCB">
      <w:pPr>
        <w:numPr>
          <w:ilvl w:val="0"/>
          <w:numId w:val="48"/>
        </w:numPr>
        <w:tabs>
          <w:tab w:val="num" w:pos="540"/>
        </w:tabs>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a good attitude towards the ECD centre and the ECD practitioners;</w:t>
      </w:r>
    </w:p>
    <w:p w:rsidR="007C2DCB" w:rsidRPr="007C2DCB" w:rsidRDefault="007C2DCB" w:rsidP="007C2DCB">
      <w:pPr>
        <w:numPr>
          <w:ilvl w:val="0"/>
          <w:numId w:val="48"/>
        </w:numPr>
        <w:tabs>
          <w:tab w:val="num" w:pos="540"/>
        </w:tabs>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improved behaviour and attendance;</w:t>
      </w:r>
    </w:p>
    <w:p w:rsidR="007C2DCB" w:rsidRPr="007C2DCB" w:rsidRDefault="007C2DCB" w:rsidP="007C2DCB">
      <w:pPr>
        <w:numPr>
          <w:ilvl w:val="0"/>
          <w:numId w:val="48"/>
        </w:numPr>
        <w:tabs>
          <w:tab w:val="num" w:pos="540"/>
        </w:tabs>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 xml:space="preserve">an improved self concept; and </w:t>
      </w:r>
    </w:p>
    <w:p w:rsidR="007C2DCB" w:rsidRPr="007C2DCB" w:rsidRDefault="007C2DCB" w:rsidP="007C2DCB">
      <w:pPr>
        <w:numPr>
          <w:ilvl w:val="0"/>
          <w:numId w:val="48"/>
        </w:numPr>
        <w:tabs>
          <w:tab w:val="num" w:pos="540"/>
        </w:tabs>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 xml:space="preserve">improved communication with the ECD practitioner and the family. </w:t>
      </w:r>
    </w:p>
    <w:p w:rsidR="007C2DCB" w:rsidRPr="007C2DCB" w:rsidRDefault="007C2DCB" w:rsidP="007C2DCB">
      <w:pPr>
        <w:spacing w:line="360" w:lineRule="auto"/>
        <w:jc w:val="both"/>
        <w:rPr>
          <w:rFonts w:ascii="Century Gothic" w:hAnsi="Century Gothic"/>
          <w:b/>
          <w:bCs/>
          <w:iCs/>
          <w:color w:val="FF0000"/>
          <w:sz w:val="22"/>
          <w:szCs w:val="22"/>
          <w:lang w:val="en-ZA"/>
        </w:rPr>
      </w:pPr>
    </w:p>
    <w:p w:rsidR="007C2DCB" w:rsidRPr="007C2DCB" w:rsidRDefault="007C2DCB" w:rsidP="007C2DCB">
      <w:pPr>
        <w:spacing w:line="360" w:lineRule="auto"/>
        <w:jc w:val="both"/>
        <w:rPr>
          <w:rFonts w:ascii="Century Gothic" w:hAnsi="Century Gothic"/>
          <w:b/>
          <w:bCs/>
          <w:iCs/>
          <w:color w:val="FF0000"/>
          <w:sz w:val="22"/>
          <w:szCs w:val="22"/>
          <w:lang w:val="en-ZA"/>
        </w:rPr>
      </w:pPr>
      <w:r w:rsidRPr="007C2DCB">
        <w:rPr>
          <w:rFonts w:ascii="Century Gothic" w:hAnsi="Century Gothic"/>
          <w:b/>
          <w:bCs/>
          <w:iCs/>
          <w:color w:val="FF0000"/>
          <w:sz w:val="22"/>
          <w:szCs w:val="22"/>
          <w:lang w:val="en-ZA"/>
        </w:rPr>
        <w:t xml:space="preserve">Establishing a working partnership </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noProof/>
          <w:color w:val="FF0000"/>
          <w:sz w:val="22"/>
          <w:szCs w:val="22"/>
          <w:lang w:val="en-US"/>
        </w:rPr>
        <w:drawing>
          <wp:anchor distT="0" distB="0" distL="114300" distR="114300" simplePos="0" relativeHeight="251676672" behindDoc="0" locked="0" layoutInCell="1" allowOverlap="1" wp14:anchorId="4F97D2EA" wp14:editId="0E833F7D">
            <wp:simplePos x="0" y="0"/>
            <wp:positionH relativeFrom="column">
              <wp:posOffset>2981325</wp:posOffset>
            </wp:positionH>
            <wp:positionV relativeFrom="paragraph">
              <wp:posOffset>88265</wp:posOffset>
            </wp:positionV>
            <wp:extent cx="2667000" cy="1883410"/>
            <wp:effectExtent l="0" t="0" r="0" b="0"/>
            <wp:wrapSquare wrapText="bothSides"/>
            <wp:docPr id="7" name="Picture 7" descr="handshak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shake sml"/>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b="9093"/>
                    <a:stretch>
                      <a:fillRect/>
                    </a:stretch>
                  </pic:blipFill>
                  <pic:spPr bwMode="auto">
                    <a:xfrm>
                      <a:off x="0" y="0"/>
                      <a:ext cx="2667000" cy="188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DCB">
        <w:rPr>
          <w:rFonts w:ascii="Century Gothic" w:hAnsi="Century Gothic"/>
          <w:iCs/>
          <w:color w:val="FF0000"/>
          <w:sz w:val="22"/>
          <w:szCs w:val="22"/>
          <w:lang w:val="en-US"/>
        </w:rPr>
        <w:t xml:space="preserve">ECD practitioners must create successful home-school partnerships and mobilise parents, community members and social </w:t>
      </w:r>
      <w:r w:rsidRPr="007C2DCB">
        <w:rPr>
          <w:rFonts w:ascii="Century Gothic" w:hAnsi="Century Gothic"/>
          <w:iCs/>
          <w:color w:val="FF0000"/>
          <w:sz w:val="22"/>
          <w:szCs w:val="22"/>
          <w:lang w:val="en-US"/>
        </w:rPr>
        <w:lastRenderedPageBreak/>
        <w:t>service agencies to engage in true collaboration on behalf of children and their families. This view sees the ECD centre in the much broader context of the community and asserts that children's life chances are not likely to improve without collective action in many arenas – the ECD centre, the family, the local health clinic, the neighbourhood, the block, the home, and so on.</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 xml:space="preserve">Several ECD centres are implementing programmes in which family and community members collaborate in a variety of ways and coordinate their services for at-risk children. </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Working in partnership:</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numPr>
          <w:ilvl w:val="0"/>
          <w:numId w:val="49"/>
        </w:num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Builds trust between educators, parents and communities</w:t>
      </w:r>
    </w:p>
    <w:p w:rsidR="007C2DCB" w:rsidRPr="007C2DCB" w:rsidRDefault="007C2DCB" w:rsidP="007C2DCB">
      <w:pPr>
        <w:numPr>
          <w:ilvl w:val="0"/>
          <w:numId w:val="49"/>
        </w:num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Builds a comprehensive support system for children and their families</w:t>
      </w:r>
    </w:p>
    <w:p w:rsidR="007C2DCB" w:rsidRPr="007C2DCB" w:rsidRDefault="007C2DCB" w:rsidP="007C2DCB">
      <w:pPr>
        <w:numPr>
          <w:ilvl w:val="0"/>
          <w:numId w:val="49"/>
        </w:numPr>
        <w:spacing w:line="360" w:lineRule="auto"/>
        <w:jc w:val="both"/>
        <w:rPr>
          <w:rFonts w:ascii="Century Gothic" w:hAnsi="Century Gothic"/>
          <w:b/>
          <w:bCs/>
          <w:iCs/>
          <w:color w:val="FF0000"/>
          <w:sz w:val="22"/>
          <w:szCs w:val="22"/>
          <w:lang w:val="en-ZA"/>
        </w:rPr>
      </w:pPr>
      <w:r w:rsidRPr="007C2DCB">
        <w:rPr>
          <w:rFonts w:ascii="Century Gothic" w:hAnsi="Century Gothic"/>
          <w:b/>
          <w:bCs/>
          <w:iCs/>
          <w:color w:val="FF0000"/>
          <w:sz w:val="22"/>
          <w:szCs w:val="22"/>
          <w:lang w:val="en-ZA"/>
        </w:rPr>
        <w:t>Increases the knowledge about the needs of the students and their families</w:t>
      </w:r>
    </w:p>
    <w:p w:rsidR="007C2DCB" w:rsidRPr="007C2DCB" w:rsidRDefault="007C2DCB" w:rsidP="007C2DCB">
      <w:pPr>
        <w:spacing w:line="360" w:lineRule="auto"/>
        <w:jc w:val="both"/>
        <w:rPr>
          <w:rFonts w:ascii="Century Gothic" w:hAnsi="Century Gothic"/>
          <w:iCs/>
          <w:color w:val="FF0000"/>
          <w:sz w:val="22"/>
          <w:szCs w:val="22"/>
          <w:lang w:val="en-US"/>
        </w:rPr>
      </w:pPr>
    </w:p>
    <w:p w:rsidR="007C2DCB" w:rsidRPr="007C2DCB" w:rsidRDefault="007C2DCB" w:rsidP="007C2DCB">
      <w:pPr>
        <w:spacing w:line="360" w:lineRule="auto"/>
        <w:jc w:val="both"/>
        <w:rPr>
          <w:rFonts w:ascii="Century Gothic" w:hAnsi="Century Gothic"/>
          <w:iCs/>
          <w:color w:val="FF0000"/>
          <w:sz w:val="22"/>
          <w:szCs w:val="22"/>
          <w:lang w:val="en-US"/>
        </w:rPr>
      </w:pPr>
      <w:r w:rsidRPr="007C2DCB">
        <w:rPr>
          <w:rFonts w:ascii="Century Gothic" w:hAnsi="Century Gothic"/>
          <w:iCs/>
          <w:color w:val="FF0000"/>
          <w:sz w:val="22"/>
          <w:szCs w:val="22"/>
          <w:lang w:val="en-US"/>
        </w:rPr>
        <w:t>Partnerships should build upon all of the community's resources in addressing the needs of children and families. They should include parents, health and social service agencies, community organisations, businesses, educational institutions, and so forth. Indeed, involving parents as participants in the ECD centre – as tutors, programme coordinators, volunteers, and community liaisons – is essential to building a climate of nurturing and engaged learning in the school.</w:t>
      </w:r>
    </w:p>
    <w:p w:rsidR="007C2DCB" w:rsidRPr="007C2DCB" w:rsidRDefault="007C2DCB" w:rsidP="007C2DCB">
      <w:pPr>
        <w:spacing w:line="360" w:lineRule="auto"/>
        <w:jc w:val="both"/>
        <w:rPr>
          <w:rFonts w:ascii="Century Gothic" w:hAnsi="Century Gothic"/>
          <w:b/>
          <w:bCs/>
          <w:iCs/>
          <w:sz w:val="22"/>
          <w:szCs w:val="22"/>
          <w:lang w:val="en-ZA"/>
        </w:rPr>
      </w:pPr>
    </w:p>
    <w:p w:rsidR="007C2DCB" w:rsidRPr="007C2DCB" w:rsidRDefault="007C2DCB" w:rsidP="007C2DCB">
      <w:pPr>
        <w:spacing w:line="360" w:lineRule="auto"/>
        <w:jc w:val="both"/>
        <w:rPr>
          <w:rFonts w:ascii="Century Gothic" w:hAnsi="Century Gothic"/>
          <w:lang w:val="en-ZA"/>
        </w:rPr>
      </w:pPr>
    </w:p>
    <w:p w:rsidR="007C2DCB" w:rsidRPr="007C2DCB" w:rsidRDefault="007C2DCB" w:rsidP="007C2DCB">
      <w:pPr>
        <w:spacing w:line="360" w:lineRule="auto"/>
        <w:jc w:val="both"/>
        <w:rPr>
          <w:rFonts w:ascii="Century Gothic" w:hAnsi="Century Gothic"/>
          <w:sz w:val="22"/>
          <w:szCs w:val="22"/>
          <w:lang w:val="en-ZA"/>
        </w:rPr>
      </w:pPr>
      <w:r w:rsidRPr="007C2DCB">
        <w:rPr>
          <w:rFonts w:ascii="Century Gothic" w:hAnsi="Century Gothic"/>
          <w:sz w:val="22"/>
          <w:szCs w:val="22"/>
          <w:lang w:val="en-ZA"/>
        </w:rPr>
        <w:t xml:space="preserve"> IAC0104 Explain the process involved in planning and preparing for parent meetings  (Weight 100%) </w:t>
      </w:r>
    </w:p>
    <w:p w:rsidR="007C2DCB" w:rsidRPr="007C2DCB" w:rsidRDefault="007C2DCB" w:rsidP="007C2DCB">
      <w:pPr>
        <w:spacing w:line="360" w:lineRule="auto"/>
        <w:jc w:val="both"/>
        <w:rPr>
          <w:rFonts w:ascii="Century Gothic" w:hAnsi="Century Gothic"/>
          <w:color w:val="FF0000"/>
          <w:sz w:val="22"/>
          <w:szCs w:val="22"/>
        </w:rPr>
      </w:pPr>
    </w:p>
    <w:bookmarkEnd w:id="34"/>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 xml:space="preserve">Parent meetings </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 xml:space="preserve">It is a good idea to have regular parents meetings in order to give feedback to parents on their child’s development, assess what has worked and discuss what can be improved on in the future. Parent meetings provide a connection and partnership with parents to discuss a child's needs, strengths and areas to build on. </w:t>
      </w:r>
      <w:r w:rsidRPr="007C2DCB">
        <w:rPr>
          <w:rFonts w:ascii="Century Gothic" w:hAnsi="Century Gothic"/>
          <w:color w:val="FF0000"/>
          <w:sz w:val="22"/>
          <w:szCs w:val="22"/>
          <w:lang w:val="en-US"/>
        </w:rPr>
        <w:lastRenderedPageBreak/>
        <w:t xml:space="preserve">Parent meetings are an important way of allowing parents to be part of the process of setting goals for the school. </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1. Be prepared</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Prepare in advance for the meeting by using a checklist (see table 2.2). Even if the children are only infants, this time is set up for you as a practitioner to gain a better understanding of both the child’s and the parent’s needs. It is a good idea to write out a report for each parent with details on how their child is developing. If the parents cannot make the meeting, you can give it to them when they next pick up their child. Remember to cover areas such as speech, mobility, social skills, game play and art.</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noProof/>
          <w:color w:val="FF0000"/>
          <w:sz w:val="22"/>
          <w:szCs w:val="22"/>
        </w:rPr>
        <w:drawing>
          <wp:anchor distT="0" distB="0" distL="114300" distR="114300" simplePos="0" relativeHeight="251675648" behindDoc="0" locked="0" layoutInCell="1" allowOverlap="1" wp14:anchorId="5C276823" wp14:editId="6ED2FCB9">
            <wp:simplePos x="0" y="0"/>
            <wp:positionH relativeFrom="column">
              <wp:posOffset>0</wp:posOffset>
            </wp:positionH>
            <wp:positionV relativeFrom="paragraph">
              <wp:posOffset>52705</wp:posOffset>
            </wp:positionV>
            <wp:extent cx="1870075" cy="1765300"/>
            <wp:effectExtent l="0" t="0" r="0" b="0"/>
            <wp:wrapSquare wrapText="bothSides"/>
            <wp:docPr id="11" name="Picture 11" descr="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in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0075" cy="176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DCB">
        <w:rPr>
          <w:rFonts w:ascii="Century Gothic" w:hAnsi="Century Gothic"/>
          <w:b/>
          <w:bCs/>
          <w:color w:val="FF0000"/>
          <w:sz w:val="22"/>
          <w:szCs w:val="22"/>
          <w:lang w:val="en-ZA"/>
        </w:rPr>
        <w:t xml:space="preserve">2. Encourage parents to show up </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The idea behind parent meetings is to encourage communications with parents, but please remember that a parent’s time is precious. Ideally you need to send a letter with the children informing parents of the meeting and ask the children to bring back a signed slip if possible. Put up a poster with the date and time to remind parents when they pick up their children. A reminder two days before the meeting might also help to increase attendance numbers. If you have something specific to discuss with parents such as a possible problem, please ask them to stay on after the meeting in order for you to discuss it with them in private.</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3. Be positive</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Even the strongest partnerships between providers and parents seem awkward in a formal setting. Defuse any nervousness by beginning the conversation in a positive light. Briefly mention a highlight and reserve at least one compliment for each parent, for example, Suzy is a really good communicator. This serves as an icebreaker and begins the conversation in a positive tone.</w:t>
      </w: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4. Stay on topic</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lastRenderedPageBreak/>
        <w:t>This conference is about the children, and concerns the present and not the past. This may sound simple, but parents will often start talking about their own childhood, another sibling, or other matters that have nothing to do with the topic at hand. Remember, this is your time to talk about how the parent’s child is doing in the childcare setting. There are plenty of other opportunities to have casual conversations with the parents.</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5. Make time to also listen and be open minded</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 xml:space="preserve">A parent’s meeting is a chance for caregivers to provide parents with information based on observation and daily care. No child is perfect, and remember that you have to bring up information of value to the parents, even if it may offend them. Remain open minded and receptive to feedback that you may get, and don't become defensive about discussions of behaviour or areas that need to be worked on. </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b/>
          <w:bCs/>
          <w:color w:val="FF0000"/>
          <w:sz w:val="22"/>
          <w:szCs w:val="22"/>
          <w:lang w:val="en-US"/>
        </w:rPr>
        <w:t>6. Involve parents in the centre’s activities</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Remember that the parents must feel like part of the centre, and that you can achieve this by incorporating their ideas when planning the centre’s activities. Although most parents have busy lives, you may be pleasantly surprised by how willing they are to help out with occasional outings, talks or volunteer activities.</w:t>
      </w:r>
    </w:p>
    <w:p w:rsidR="007C2DCB" w:rsidRPr="007C2DCB" w:rsidRDefault="007C2DCB" w:rsidP="007C2DCB">
      <w:pPr>
        <w:spacing w:line="360" w:lineRule="auto"/>
        <w:jc w:val="both"/>
        <w:rPr>
          <w:rFonts w:ascii="Century Gothic" w:hAnsi="Century Gothic"/>
          <w:color w:val="FF0000"/>
          <w:sz w:val="22"/>
          <w:szCs w:val="22"/>
          <w:lang w:val="en-ZA"/>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7. Take notes</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Take notes during your meeting. Some ECD centres have a checklist or sheet completed on your child that is left with you following a conference. Notes help you remember the high points and areas of concern, and to help work on those behaviours for improvement. Remember, the conference also serves to talk all about the areas each child is doing well in, and allows you the chance to reinforcement these achievements.</w:t>
      </w:r>
    </w:p>
    <w:p w:rsidR="007C2DCB" w:rsidRPr="007C2DCB" w:rsidRDefault="007C2DCB" w:rsidP="007C2DCB">
      <w:pPr>
        <w:spacing w:line="360" w:lineRule="auto"/>
        <w:jc w:val="both"/>
        <w:rPr>
          <w:rFonts w:ascii="Century Gothic" w:hAnsi="Century Gothic"/>
          <w:color w:val="FF0000"/>
          <w:sz w:val="22"/>
          <w:szCs w:val="22"/>
          <w:lang w:val="en-US"/>
        </w:rPr>
      </w:pPr>
    </w:p>
    <w:p w:rsidR="007C2DCB" w:rsidRPr="007C2DCB" w:rsidRDefault="007C2DCB" w:rsidP="007C2DCB">
      <w:pPr>
        <w:spacing w:line="360" w:lineRule="auto"/>
        <w:jc w:val="both"/>
        <w:rPr>
          <w:rFonts w:ascii="Century Gothic" w:hAnsi="Century Gothic"/>
          <w:b/>
          <w:bCs/>
          <w:color w:val="FF0000"/>
          <w:sz w:val="22"/>
          <w:szCs w:val="22"/>
          <w:lang w:val="en-ZA"/>
        </w:rPr>
      </w:pPr>
      <w:r w:rsidRPr="007C2DCB">
        <w:rPr>
          <w:rFonts w:ascii="Century Gothic" w:hAnsi="Century Gothic"/>
          <w:b/>
          <w:bCs/>
          <w:color w:val="FF0000"/>
          <w:sz w:val="22"/>
          <w:szCs w:val="22"/>
          <w:lang w:val="en-ZA"/>
        </w:rPr>
        <w:t>8. Set follow-ups and future feedback</w:t>
      </w:r>
    </w:p>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If you have to ask parents to help with corrective action to help improve behaviour and development, schedule a follow-up appointment. If a boy is biting other children, work in partnership with the parents to resolve the situation. Try to establish open and ongoing communication tools to foster stronger relationships all around.</w:t>
      </w:r>
    </w:p>
    <w:p w:rsidR="007C2DCB" w:rsidRPr="007C2DCB" w:rsidRDefault="007C2DCB" w:rsidP="007C2DCB">
      <w:pPr>
        <w:spacing w:line="360" w:lineRule="auto"/>
        <w:jc w:val="both"/>
        <w:rPr>
          <w:rFonts w:ascii="Century Gothic" w:hAnsi="Century Gothic"/>
          <w:color w:val="FF0000"/>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7"/>
        <w:gridCol w:w="674"/>
      </w:tblGrid>
      <w:tr w:rsidR="007C2DCB" w:rsidRPr="007C2DCB" w:rsidTr="00651A12">
        <w:tc>
          <w:tcPr>
            <w:tcW w:w="8568" w:type="dxa"/>
            <w:shd w:val="pct20" w:color="auto" w:fill="auto"/>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
                <w:bCs/>
                <w:color w:val="FF0000"/>
                <w:sz w:val="22"/>
                <w:szCs w:val="22"/>
                <w:lang w:val="en-US"/>
              </w:rPr>
              <w:t>Parent meeting checklist</w:t>
            </w:r>
          </w:p>
        </w:tc>
        <w:tc>
          <w:tcPr>
            <w:tcW w:w="674" w:type="dxa"/>
            <w:shd w:val="pct20" w:color="auto" w:fill="auto"/>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
                <w:bCs/>
                <w:color w:val="FF0000"/>
                <w:sz w:val="22"/>
                <w:szCs w:val="22"/>
                <w:lang w:val="en-US"/>
              </w:rPr>
              <w:t>Tick</w:t>
            </w:r>
          </w:p>
        </w:tc>
      </w:tr>
      <w:tr w:rsidR="007C2DCB" w:rsidRPr="007C2DCB" w:rsidTr="00651A12">
        <w:tc>
          <w:tcPr>
            <w:tcW w:w="8568" w:type="dxa"/>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Parents:</w:t>
            </w:r>
          </w:p>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 xml:space="preserve">Invite the parents at least a week or two in advance </w:t>
            </w:r>
            <w:r w:rsidRPr="007C2DCB">
              <w:rPr>
                <w:rFonts w:ascii="Century Gothic" w:hAnsi="Century Gothic"/>
                <w:bCs/>
                <w:color w:val="FF0000"/>
                <w:sz w:val="22"/>
                <w:szCs w:val="22"/>
                <w:lang w:val="en-US"/>
              </w:rPr>
              <w:br/>
              <w:t>Send parents a reminder a day or two before the meeting</w:t>
            </w:r>
            <w:r w:rsidRPr="007C2DCB">
              <w:rPr>
                <w:rFonts w:ascii="Century Gothic" w:hAnsi="Century Gothic"/>
                <w:bCs/>
                <w:color w:val="FF0000"/>
                <w:sz w:val="22"/>
                <w:szCs w:val="22"/>
                <w:lang w:val="en-US"/>
              </w:rPr>
              <w:br/>
              <w:t>Make sure that you create a friendly informal environment</w:t>
            </w:r>
          </w:p>
        </w:tc>
        <w:tc>
          <w:tcPr>
            <w:tcW w:w="674" w:type="dxa"/>
          </w:tcPr>
          <w:p w:rsidR="007C2DCB" w:rsidRPr="007C2DCB" w:rsidRDefault="007C2DCB" w:rsidP="007C2DCB">
            <w:pPr>
              <w:spacing w:line="360" w:lineRule="auto"/>
              <w:jc w:val="both"/>
              <w:rPr>
                <w:rFonts w:ascii="Century Gothic" w:hAnsi="Century Gothic"/>
                <w:bCs/>
                <w:color w:val="FF0000"/>
                <w:sz w:val="22"/>
                <w:szCs w:val="22"/>
                <w:lang w:val="en-US"/>
              </w:rPr>
            </w:pPr>
          </w:p>
        </w:tc>
      </w:tr>
      <w:tr w:rsidR="007C2DCB" w:rsidRPr="007C2DCB" w:rsidTr="00651A12">
        <w:tc>
          <w:tcPr>
            <w:tcW w:w="8568" w:type="dxa"/>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Schedule:</w:t>
            </w:r>
          </w:p>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Plan your time and allow enough time after the meeting in case parents have something they wish to discuss with you</w:t>
            </w:r>
          </w:p>
        </w:tc>
        <w:tc>
          <w:tcPr>
            <w:tcW w:w="674" w:type="dxa"/>
          </w:tcPr>
          <w:p w:rsidR="007C2DCB" w:rsidRPr="007C2DCB" w:rsidRDefault="007C2DCB" w:rsidP="007C2DCB">
            <w:pPr>
              <w:spacing w:line="360" w:lineRule="auto"/>
              <w:jc w:val="both"/>
              <w:rPr>
                <w:rFonts w:ascii="Century Gothic" w:hAnsi="Century Gothic"/>
                <w:bCs/>
                <w:color w:val="FF0000"/>
                <w:sz w:val="22"/>
                <w:szCs w:val="22"/>
                <w:lang w:val="en-US"/>
              </w:rPr>
            </w:pPr>
          </w:p>
        </w:tc>
      </w:tr>
      <w:tr w:rsidR="007C2DCB" w:rsidRPr="007C2DCB" w:rsidTr="00651A12">
        <w:tc>
          <w:tcPr>
            <w:tcW w:w="8568" w:type="dxa"/>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Resources:</w:t>
            </w:r>
          </w:p>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Organise refreshments or ask parents to each bring something if they are able to</w:t>
            </w:r>
            <w:r w:rsidRPr="007C2DCB">
              <w:rPr>
                <w:rFonts w:ascii="Century Gothic" w:hAnsi="Century Gothic"/>
                <w:bCs/>
                <w:color w:val="FF0000"/>
                <w:sz w:val="22"/>
                <w:szCs w:val="22"/>
                <w:lang w:val="en-US"/>
              </w:rPr>
              <w:br/>
              <w:t>Have paper and writing materials available</w:t>
            </w:r>
          </w:p>
        </w:tc>
        <w:tc>
          <w:tcPr>
            <w:tcW w:w="674" w:type="dxa"/>
          </w:tcPr>
          <w:p w:rsidR="007C2DCB" w:rsidRPr="007C2DCB" w:rsidRDefault="007C2DCB" w:rsidP="007C2DCB">
            <w:pPr>
              <w:spacing w:line="360" w:lineRule="auto"/>
              <w:jc w:val="both"/>
              <w:rPr>
                <w:rFonts w:ascii="Century Gothic" w:hAnsi="Century Gothic"/>
                <w:bCs/>
                <w:color w:val="FF0000"/>
                <w:sz w:val="22"/>
                <w:szCs w:val="22"/>
                <w:lang w:val="en-US"/>
              </w:rPr>
            </w:pPr>
          </w:p>
        </w:tc>
      </w:tr>
      <w:tr w:rsidR="007C2DCB" w:rsidRPr="007C2DCB" w:rsidTr="00651A12">
        <w:tc>
          <w:tcPr>
            <w:tcW w:w="8568" w:type="dxa"/>
          </w:tcPr>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Including the children:</w:t>
            </w:r>
          </w:p>
          <w:p w:rsidR="007C2DCB" w:rsidRPr="007C2DCB" w:rsidRDefault="007C2DCB" w:rsidP="007C2DCB">
            <w:pPr>
              <w:spacing w:line="360" w:lineRule="auto"/>
              <w:jc w:val="both"/>
              <w:rPr>
                <w:rFonts w:ascii="Century Gothic" w:hAnsi="Century Gothic"/>
                <w:bCs/>
                <w:color w:val="FF0000"/>
                <w:sz w:val="22"/>
                <w:szCs w:val="22"/>
                <w:lang w:val="en-US"/>
              </w:rPr>
            </w:pPr>
            <w:r w:rsidRPr="007C2DCB">
              <w:rPr>
                <w:rFonts w:ascii="Century Gothic" w:hAnsi="Century Gothic"/>
                <w:bCs/>
                <w:color w:val="FF0000"/>
                <w:sz w:val="22"/>
                <w:szCs w:val="22"/>
                <w:lang w:val="en-US"/>
              </w:rPr>
              <w:t>Make sure you have some of the children’s arts and crafts on display</w:t>
            </w:r>
          </w:p>
        </w:tc>
        <w:tc>
          <w:tcPr>
            <w:tcW w:w="674" w:type="dxa"/>
          </w:tcPr>
          <w:p w:rsidR="007C2DCB" w:rsidRPr="007C2DCB" w:rsidRDefault="007C2DCB" w:rsidP="007C2DCB">
            <w:pPr>
              <w:spacing w:line="360" w:lineRule="auto"/>
              <w:jc w:val="both"/>
              <w:rPr>
                <w:rFonts w:ascii="Century Gothic" w:hAnsi="Century Gothic"/>
                <w:bCs/>
                <w:color w:val="FF0000"/>
                <w:sz w:val="22"/>
                <w:szCs w:val="22"/>
                <w:lang w:val="en-US"/>
              </w:rPr>
            </w:pPr>
          </w:p>
        </w:tc>
      </w:tr>
    </w:tbl>
    <w:p w:rsidR="007C2DCB" w:rsidRPr="007C2DCB" w:rsidRDefault="007C2DCB" w:rsidP="007C2DCB">
      <w:pPr>
        <w:spacing w:line="360" w:lineRule="auto"/>
        <w:jc w:val="both"/>
        <w:rPr>
          <w:rFonts w:ascii="Century Gothic" w:hAnsi="Century Gothic"/>
          <w:color w:val="FF0000"/>
          <w:sz w:val="22"/>
          <w:szCs w:val="22"/>
          <w:lang w:val="en-US"/>
        </w:rPr>
      </w:pPr>
      <w:r w:rsidRPr="007C2DCB">
        <w:rPr>
          <w:rFonts w:ascii="Century Gothic" w:hAnsi="Century Gothic"/>
          <w:color w:val="FF0000"/>
          <w:sz w:val="22"/>
          <w:szCs w:val="22"/>
          <w:lang w:val="en-US"/>
        </w:rPr>
        <w:t>Parent meeting checklist</w:t>
      </w:r>
    </w:p>
    <w:p w:rsidR="007C2DCB" w:rsidRPr="007C2DCB" w:rsidRDefault="007C2DCB" w:rsidP="007C2DCB">
      <w:pPr>
        <w:spacing w:line="360" w:lineRule="auto"/>
        <w:jc w:val="both"/>
        <w:rPr>
          <w:rFonts w:ascii="Century Gothic" w:hAnsi="Century Gothic"/>
          <w:color w:val="FF0000"/>
          <w:sz w:val="22"/>
          <w:szCs w:val="22"/>
        </w:rPr>
      </w:pPr>
    </w:p>
    <w:p w:rsidR="00A978A3" w:rsidRPr="00A978A3" w:rsidRDefault="00A978A3" w:rsidP="00546FC4">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57218F" w:rsidRPr="00B8037A" w:rsidRDefault="0057218F" w:rsidP="00B8037A">
      <w:pPr>
        <w:rPr>
          <w:rFonts w:ascii="Century Gothic" w:hAnsi="Century Gothic"/>
          <w:sz w:val="22"/>
          <w:szCs w:val="22"/>
        </w:rPr>
      </w:pPr>
    </w:p>
    <w:sectPr w:rsidR="0057218F" w:rsidRPr="00B8037A" w:rsidSect="00821809">
      <w:headerReference w:type="default" r:id="rId18"/>
      <w:footerReference w:type="default" r:id="rId19"/>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7BE6" w:rsidRDefault="00FA7BE6" w:rsidP="00CE5EF2">
      <w:r>
        <w:separator/>
      </w:r>
    </w:p>
  </w:endnote>
  <w:endnote w:type="continuationSeparator" w:id="0">
    <w:p w:rsidR="00FA7BE6" w:rsidRDefault="00FA7BE6"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D301D4" w:rsidRDefault="00D301D4"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7C2DCB" w:rsidRPr="007C2DCB">
          <w:rPr>
            <w:b/>
            <w:noProof/>
          </w:rPr>
          <w:t>4</w:t>
        </w:r>
        <w:r>
          <w:rPr>
            <w:b/>
            <w:noProof/>
          </w:rPr>
          <w:fldChar w:fldCharType="end"/>
        </w:r>
        <w:r>
          <w:rPr>
            <w:b/>
          </w:rPr>
          <w:t xml:space="preserve"> | </w:t>
        </w:r>
        <w:r>
          <w:rPr>
            <w:color w:val="7F7F7F" w:themeColor="background1" w:themeShade="7F"/>
            <w:spacing w:val="60"/>
          </w:rPr>
          <w:t>Page Assessor guide</w:t>
        </w:r>
      </w:p>
    </w:sdtContent>
  </w:sdt>
  <w:p w:rsidR="00D301D4" w:rsidRDefault="00D301D4">
    <w:pPr>
      <w:pStyle w:val="Footer"/>
      <w:widowControl/>
      <w:ind w:right="-1"/>
      <w:rPr>
        <w:i/>
        <w:sz w:val="18"/>
      </w:rPr>
    </w:pPr>
  </w:p>
  <w:p w:rsidR="00D301D4" w:rsidRDefault="00D301D4">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D301D4" w:rsidRDefault="00D301D4">
        <w:pPr>
          <w:pStyle w:val="Footer"/>
          <w:pBdr>
            <w:top w:val="single" w:sz="4" w:space="1" w:color="D9D9D9" w:themeColor="background1" w:themeShade="D9"/>
          </w:pBdr>
          <w:rPr>
            <w:b/>
          </w:rPr>
        </w:pPr>
        <w:r>
          <w:fldChar w:fldCharType="begin"/>
        </w:r>
        <w:r>
          <w:instrText xml:space="preserve"> PAGE   \* MERGEFORMAT </w:instrText>
        </w:r>
        <w:r>
          <w:fldChar w:fldCharType="separate"/>
        </w:r>
        <w:r w:rsidR="007C2DCB" w:rsidRPr="007C2DCB">
          <w:rPr>
            <w:b/>
            <w:noProof/>
          </w:rPr>
          <w:t>16</w:t>
        </w:r>
        <w:r>
          <w:rPr>
            <w:b/>
            <w:noProof/>
          </w:rPr>
          <w:fldChar w:fldCharType="end"/>
        </w:r>
        <w:r>
          <w:rPr>
            <w:b/>
          </w:rPr>
          <w:t xml:space="preserve"> | </w:t>
        </w:r>
        <w:r>
          <w:rPr>
            <w:color w:val="7F7F7F" w:themeColor="background1" w:themeShade="7F"/>
            <w:spacing w:val="60"/>
          </w:rPr>
          <w:t>Page Assessor guide</w:t>
        </w:r>
      </w:p>
    </w:sdtContent>
  </w:sdt>
  <w:p w:rsidR="00D301D4" w:rsidRDefault="00D301D4">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D301D4" w:rsidRDefault="00D301D4">
        <w:pPr>
          <w:pStyle w:val="Footer"/>
          <w:pBdr>
            <w:top w:val="single" w:sz="4" w:space="1" w:color="D9D9D9" w:themeColor="background1" w:themeShade="D9"/>
          </w:pBdr>
          <w:rPr>
            <w:b/>
          </w:rPr>
        </w:pPr>
        <w:r>
          <w:fldChar w:fldCharType="begin"/>
        </w:r>
        <w:r>
          <w:instrText xml:space="preserve"> PAGE   \* MERGEFORMAT </w:instrText>
        </w:r>
        <w:r>
          <w:fldChar w:fldCharType="separate"/>
        </w:r>
        <w:r w:rsidR="007C2DCB" w:rsidRPr="007C2DCB">
          <w:rPr>
            <w:b/>
            <w:noProof/>
          </w:rPr>
          <w:t>31</w:t>
        </w:r>
        <w:r>
          <w:rPr>
            <w:b/>
            <w:noProof/>
          </w:rPr>
          <w:fldChar w:fldCharType="end"/>
        </w:r>
        <w:r>
          <w:rPr>
            <w:b/>
          </w:rPr>
          <w:t xml:space="preserve"> | </w:t>
        </w:r>
        <w:r>
          <w:rPr>
            <w:color w:val="7F7F7F" w:themeColor="background1" w:themeShade="7F"/>
            <w:spacing w:val="60"/>
          </w:rPr>
          <w:t>Page</w:t>
        </w:r>
      </w:p>
    </w:sdtContent>
  </w:sdt>
  <w:p w:rsidR="00D301D4" w:rsidRDefault="00D30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7BE6" w:rsidRDefault="00FA7BE6" w:rsidP="00CE5EF2">
      <w:r>
        <w:separator/>
      </w:r>
    </w:p>
  </w:footnote>
  <w:footnote w:type="continuationSeparator" w:id="0">
    <w:p w:rsidR="00FA7BE6" w:rsidRDefault="00FA7BE6"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01D4" w:rsidRDefault="00D301D4">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D301D4" w:rsidRDefault="00D301D4" w:rsidP="00DF21FC">
        <w:pPr>
          <w:pStyle w:val="NoSpacing"/>
          <w:rPr>
            <w:b/>
            <w:szCs w:val="28"/>
          </w:rPr>
        </w:pPr>
      </w:p>
      <w:p w:rsidR="00D301D4" w:rsidRDefault="00FA7BE6" w:rsidP="00DF21FC">
        <w:pPr>
          <w:pStyle w:val="Header"/>
        </w:pPr>
      </w:p>
    </w:sdtContent>
  </w:sdt>
  <w:p w:rsidR="00D301D4" w:rsidRPr="00D87614" w:rsidRDefault="00D301D4"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1BA"/>
    <w:multiLevelType w:val="hybridMultilevel"/>
    <w:tmpl w:val="445028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1FD69FB"/>
    <w:multiLevelType w:val="hybridMultilevel"/>
    <w:tmpl w:val="2A8CBF88"/>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65778"/>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0E7D0020"/>
    <w:multiLevelType w:val="hybridMultilevel"/>
    <w:tmpl w:val="047EA5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47328B5"/>
    <w:multiLevelType w:val="hybridMultilevel"/>
    <w:tmpl w:val="A0182C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73332F3"/>
    <w:multiLevelType w:val="hybridMultilevel"/>
    <w:tmpl w:val="C91E189A"/>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A2F25B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1C87170F"/>
    <w:multiLevelType w:val="hybridMultilevel"/>
    <w:tmpl w:val="B1B2AAF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5"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22E73FC"/>
    <w:multiLevelType w:val="hybridMultilevel"/>
    <w:tmpl w:val="95E4D478"/>
    <w:lvl w:ilvl="0" w:tplc="FFFFFFFF">
      <w:start w:val="1"/>
      <w:numFmt w:val="bullet"/>
      <w:lvlText w:val=""/>
      <w:legacy w:legacy="1" w:legacySpace="0" w:legacyIndent="360"/>
      <w:lvlJc w:val="left"/>
      <w:pPr>
        <w:ind w:left="36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7B2020C"/>
    <w:multiLevelType w:val="hybridMultilevel"/>
    <w:tmpl w:val="78D4DF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E523A61"/>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56D58F0"/>
    <w:multiLevelType w:val="hybridMultilevel"/>
    <w:tmpl w:val="6A70C5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484837A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0" w15:restartNumberingAfterBreak="0">
    <w:nsid w:val="4BF41BB5"/>
    <w:multiLevelType w:val="hybridMultilevel"/>
    <w:tmpl w:val="6D48FD78"/>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1" w15:restartNumberingAfterBreak="0">
    <w:nsid w:val="4F3318C4"/>
    <w:multiLevelType w:val="hybridMultilevel"/>
    <w:tmpl w:val="BCA812D6"/>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51BF4862"/>
    <w:multiLevelType w:val="hybridMultilevel"/>
    <w:tmpl w:val="467A301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53AC443B"/>
    <w:multiLevelType w:val="hybridMultilevel"/>
    <w:tmpl w:val="6A70C54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5DBC4900"/>
    <w:multiLevelType w:val="hybridMultilevel"/>
    <w:tmpl w:val="25E2A8CC"/>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37"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4367CB"/>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9"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660A49D9"/>
    <w:multiLevelType w:val="hybridMultilevel"/>
    <w:tmpl w:val="2C343B9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62C01C5"/>
    <w:multiLevelType w:val="hybridMultilevel"/>
    <w:tmpl w:val="16C25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B527681"/>
    <w:multiLevelType w:val="hybridMultilevel"/>
    <w:tmpl w:val="90CEC132"/>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6EB3058E"/>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5"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8" w15:restartNumberingAfterBreak="0">
    <w:nsid w:val="7BFE109F"/>
    <w:multiLevelType w:val="hybridMultilevel"/>
    <w:tmpl w:val="914E0380"/>
    <w:lvl w:ilvl="0" w:tplc="04090001">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1"/>
  </w:num>
  <w:num w:numId="3">
    <w:abstractNumId w:val="46"/>
  </w:num>
  <w:num w:numId="4">
    <w:abstractNumId w:val="3"/>
  </w:num>
  <w:num w:numId="5">
    <w:abstractNumId w:val="18"/>
  </w:num>
  <w:num w:numId="6">
    <w:abstractNumId w:val="27"/>
  </w:num>
  <w:num w:numId="7">
    <w:abstractNumId w:val="43"/>
  </w:num>
  <w:num w:numId="8">
    <w:abstractNumId w:val="7"/>
  </w:num>
  <w:num w:numId="9">
    <w:abstractNumId w:val="22"/>
  </w:num>
  <w:num w:numId="10">
    <w:abstractNumId w:val="6"/>
  </w:num>
  <w:num w:numId="11">
    <w:abstractNumId w:val="25"/>
  </w:num>
  <w:num w:numId="12">
    <w:abstractNumId w:val="37"/>
  </w:num>
  <w:num w:numId="13">
    <w:abstractNumId w:val="10"/>
  </w:num>
  <w:num w:numId="14">
    <w:abstractNumId w:val="41"/>
  </w:num>
  <w:num w:numId="15">
    <w:abstractNumId w:val="42"/>
  </w:num>
  <w:num w:numId="16">
    <w:abstractNumId w:val="9"/>
  </w:num>
  <w:num w:numId="17">
    <w:abstractNumId w:val="12"/>
  </w:num>
  <w:num w:numId="18">
    <w:abstractNumId w:val="29"/>
  </w:num>
  <w:num w:numId="19">
    <w:abstractNumId w:val="23"/>
  </w:num>
  <w:num w:numId="20">
    <w:abstractNumId w:val="38"/>
  </w:num>
  <w:num w:numId="21">
    <w:abstractNumId w:val="17"/>
  </w:num>
  <w:num w:numId="22">
    <w:abstractNumId w:val="44"/>
  </w:num>
  <w:num w:numId="23">
    <w:abstractNumId w:val="2"/>
  </w:num>
  <w:num w:numId="24">
    <w:abstractNumId w:val="40"/>
  </w:num>
  <w:num w:numId="25">
    <w:abstractNumId w:val="24"/>
  </w:num>
  <w:num w:numId="26">
    <w:abstractNumId w:val="8"/>
  </w:num>
  <w:num w:numId="27">
    <w:abstractNumId w:val="0"/>
  </w:num>
  <w:num w:numId="28">
    <w:abstractNumId w:val="5"/>
  </w:num>
  <w:num w:numId="29">
    <w:abstractNumId w:val="33"/>
  </w:num>
  <w:num w:numId="30">
    <w:abstractNumId w:val="30"/>
  </w:num>
  <w:num w:numId="31">
    <w:abstractNumId w:val="36"/>
  </w:num>
  <w:num w:numId="32">
    <w:abstractNumId w:val="32"/>
  </w:num>
  <w:num w:numId="33">
    <w:abstractNumId w:val="31"/>
  </w:num>
  <w:num w:numId="34">
    <w:abstractNumId w:val="13"/>
  </w:num>
  <w:num w:numId="35">
    <w:abstractNumId w:val="16"/>
  </w:num>
  <w:num w:numId="36">
    <w:abstractNumId w:val="14"/>
  </w:num>
  <w:num w:numId="37">
    <w:abstractNumId w:val="28"/>
  </w:num>
  <w:num w:numId="38">
    <w:abstractNumId w:val="35"/>
  </w:num>
  <w:num w:numId="39">
    <w:abstractNumId w:val="4"/>
  </w:num>
  <w:num w:numId="40">
    <w:abstractNumId w:val="15"/>
  </w:num>
  <w:num w:numId="41">
    <w:abstractNumId w:val="39"/>
  </w:num>
  <w:num w:numId="42">
    <w:abstractNumId w:val="21"/>
  </w:num>
  <w:num w:numId="43">
    <w:abstractNumId w:val="45"/>
  </w:num>
  <w:num w:numId="44">
    <w:abstractNumId w:val="19"/>
  </w:num>
  <w:num w:numId="45">
    <w:abstractNumId w:val="47"/>
  </w:num>
  <w:num w:numId="46">
    <w:abstractNumId w:val="26"/>
  </w:num>
  <w:num w:numId="47">
    <w:abstractNumId w:val="1"/>
  </w:num>
  <w:num w:numId="48">
    <w:abstractNumId w:val="20"/>
  </w:num>
  <w:num w:numId="49">
    <w:abstractNumId w:val="4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B5192"/>
    <w:rsid w:val="000C7376"/>
    <w:rsid w:val="000D0F45"/>
    <w:rsid w:val="000D5DD2"/>
    <w:rsid w:val="000F08FE"/>
    <w:rsid w:val="00106E43"/>
    <w:rsid w:val="001170AF"/>
    <w:rsid w:val="0011736C"/>
    <w:rsid w:val="00124C93"/>
    <w:rsid w:val="00130794"/>
    <w:rsid w:val="00141CEA"/>
    <w:rsid w:val="00165730"/>
    <w:rsid w:val="00170B10"/>
    <w:rsid w:val="00171369"/>
    <w:rsid w:val="00180B52"/>
    <w:rsid w:val="001832F3"/>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B3269"/>
    <w:rsid w:val="002D0DF0"/>
    <w:rsid w:val="002D3250"/>
    <w:rsid w:val="002E1BFA"/>
    <w:rsid w:val="002E69E4"/>
    <w:rsid w:val="002F02A2"/>
    <w:rsid w:val="0030345C"/>
    <w:rsid w:val="00326496"/>
    <w:rsid w:val="00327467"/>
    <w:rsid w:val="00350DFD"/>
    <w:rsid w:val="00370532"/>
    <w:rsid w:val="00370D43"/>
    <w:rsid w:val="0037273D"/>
    <w:rsid w:val="0039458F"/>
    <w:rsid w:val="003B5D3A"/>
    <w:rsid w:val="003B62DC"/>
    <w:rsid w:val="003B71A4"/>
    <w:rsid w:val="003C1205"/>
    <w:rsid w:val="003D21ED"/>
    <w:rsid w:val="003F36B1"/>
    <w:rsid w:val="00403B0D"/>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46FC4"/>
    <w:rsid w:val="00550EA4"/>
    <w:rsid w:val="00564691"/>
    <w:rsid w:val="005677AA"/>
    <w:rsid w:val="0057218F"/>
    <w:rsid w:val="00580DB9"/>
    <w:rsid w:val="0058366C"/>
    <w:rsid w:val="0059334B"/>
    <w:rsid w:val="005943A9"/>
    <w:rsid w:val="005A1001"/>
    <w:rsid w:val="005A3230"/>
    <w:rsid w:val="005A41A7"/>
    <w:rsid w:val="005B2AE2"/>
    <w:rsid w:val="005D745E"/>
    <w:rsid w:val="005E20E8"/>
    <w:rsid w:val="005F6FD1"/>
    <w:rsid w:val="00612ACD"/>
    <w:rsid w:val="0061664A"/>
    <w:rsid w:val="00621689"/>
    <w:rsid w:val="00626FD9"/>
    <w:rsid w:val="0065035B"/>
    <w:rsid w:val="0065075F"/>
    <w:rsid w:val="00652261"/>
    <w:rsid w:val="0068534E"/>
    <w:rsid w:val="00693A44"/>
    <w:rsid w:val="00695928"/>
    <w:rsid w:val="006A3723"/>
    <w:rsid w:val="006B02AB"/>
    <w:rsid w:val="006D415D"/>
    <w:rsid w:val="006E08B3"/>
    <w:rsid w:val="006E30A7"/>
    <w:rsid w:val="006E3C41"/>
    <w:rsid w:val="006E51BA"/>
    <w:rsid w:val="006E5AD9"/>
    <w:rsid w:val="006F31B0"/>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C2DCB"/>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724A"/>
    <w:rsid w:val="00924CCB"/>
    <w:rsid w:val="00927749"/>
    <w:rsid w:val="00927DE3"/>
    <w:rsid w:val="00930526"/>
    <w:rsid w:val="009443AF"/>
    <w:rsid w:val="009522C9"/>
    <w:rsid w:val="009654BD"/>
    <w:rsid w:val="00970E37"/>
    <w:rsid w:val="00976B92"/>
    <w:rsid w:val="009839FC"/>
    <w:rsid w:val="009841AD"/>
    <w:rsid w:val="009B25DC"/>
    <w:rsid w:val="009C0FEE"/>
    <w:rsid w:val="009C36CC"/>
    <w:rsid w:val="009E6D91"/>
    <w:rsid w:val="009E7D42"/>
    <w:rsid w:val="009F2F94"/>
    <w:rsid w:val="009F5013"/>
    <w:rsid w:val="00A139A4"/>
    <w:rsid w:val="00A14D1A"/>
    <w:rsid w:val="00A25422"/>
    <w:rsid w:val="00A25506"/>
    <w:rsid w:val="00A31791"/>
    <w:rsid w:val="00A37AAA"/>
    <w:rsid w:val="00A47530"/>
    <w:rsid w:val="00A579B2"/>
    <w:rsid w:val="00A61C88"/>
    <w:rsid w:val="00A63EE7"/>
    <w:rsid w:val="00A64A34"/>
    <w:rsid w:val="00A65FBB"/>
    <w:rsid w:val="00A736A6"/>
    <w:rsid w:val="00A73B58"/>
    <w:rsid w:val="00A94DE9"/>
    <w:rsid w:val="00A978A3"/>
    <w:rsid w:val="00A97B7C"/>
    <w:rsid w:val="00AA0DEA"/>
    <w:rsid w:val="00AA2513"/>
    <w:rsid w:val="00AA2C37"/>
    <w:rsid w:val="00AA7FE3"/>
    <w:rsid w:val="00AB562A"/>
    <w:rsid w:val="00AC5BB4"/>
    <w:rsid w:val="00AE0874"/>
    <w:rsid w:val="00AE3275"/>
    <w:rsid w:val="00B23933"/>
    <w:rsid w:val="00B258CF"/>
    <w:rsid w:val="00B33EF5"/>
    <w:rsid w:val="00B450D2"/>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B059B"/>
    <w:rsid w:val="00CB0B92"/>
    <w:rsid w:val="00CC7F3A"/>
    <w:rsid w:val="00CE3AEB"/>
    <w:rsid w:val="00CE5EF2"/>
    <w:rsid w:val="00D03618"/>
    <w:rsid w:val="00D143D8"/>
    <w:rsid w:val="00D2113B"/>
    <w:rsid w:val="00D301D4"/>
    <w:rsid w:val="00D33BF9"/>
    <w:rsid w:val="00D46118"/>
    <w:rsid w:val="00D55059"/>
    <w:rsid w:val="00D63A5D"/>
    <w:rsid w:val="00D64CD7"/>
    <w:rsid w:val="00D756CE"/>
    <w:rsid w:val="00D80C43"/>
    <w:rsid w:val="00DA2462"/>
    <w:rsid w:val="00DA4F2A"/>
    <w:rsid w:val="00DB3763"/>
    <w:rsid w:val="00DB4C93"/>
    <w:rsid w:val="00DB4E89"/>
    <w:rsid w:val="00DF21FC"/>
    <w:rsid w:val="00DF5138"/>
    <w:rsid w:val="00E05143"/>
    <w:rsid w:val="00E05D8F"/>
    <w:rsid w:val="00E07F3C"/>
    <w:rsid w:val="00E10DAD"/>
    <w:rsid w:val="00E23E9E"/>
    <w:rsid w:val="00E275D0"/>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A7BE6"/>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22152-E06E-452F-9411-0BDE1974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44</Pages>
  <Words>7761</Words>
  <Characters>44239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2017-11-06T22:32:00Z</dcterms:modified>
</cp:coreProperties>
</file>