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B04B0" w14:textId="2FCCC88C" w:rsidR="005F2329" w:rsidRPr="009656CE" w:rsidRDefault="009656CE" w:rsidP="005B1D66">
      <w:pPr>
        <w:spacing w:line="360" w:lineRule="auto"/>
        <w:jc w:val="center"/>
        <w:rPr>
          <w:rFonts w:ascii="Bookman Old Style" w:eastAsia="Calibri" w:hAnsi="Bookman Old Style" w:cs="Segoe UI Light"/>
          <w:b/>
          <w:color w:val="00B050"/>
          <w:sz w:val="44"/>
          <w:szCs w:val="44"/>
          <w:lang w:val="en-GB"/>
        </w:rPr>
      </w:pPr>
      <w:r w:rsidRPr="009656CE">
        <w:rPr>
          <w:rFonts w:ascii="Bookman Old Style" w:eastAsia="Calibri" w:hAnsi="Bookman Old Style" w:cs="Segoe UI Light"/>
          <w:b/>
          <w:color w:val="00B050"/>
          <w:sz w:val="44"/>
          <w:szCs w:val="44"/>
          <w:lang w:val="en-GB"/>
        </w:rPr>
        <w:t>242401001-KM-04, Facilitation of learning in occupational contexts, NQF Level 5, Credits</w:t>
      </w:r>
    </w:p>
    <w:p w14:paraId="5E36610C" w14:textId="77777777" w:rsidR="009656CE" w:rsidRPr="005F2329" w:rsidRDefault="009656CE" w:rsidP="005B1D66">
      <w:pPr>
        <w:spacing w:line="360" w:lineRule="auto"/>
        <w:jc w:val="center"/>
        <w:rPr>
          <w:rFonts w:ascii="Bookman Old Style" w:eastAsia="Calibri" w:hAnsi="Bookman Old Style" w:cs="Segoe UI Light"/>
          <w:b/>
          <w:color w:val="3F0065"/>
          <w:sz w:val="44"/>
          <w:szCs w:val="44"/>
          <w:lang w:val="en-GB"/>
        </w:rPr>
      </w:pPr>
    </w:p>
    <w:p w14:paraId="3DB16973" w14:textId="77777777" w:rsidR="00B00E69" w:rsidRDefault="00B00E69" w:rsidP="005B1D66">
      <w:pPr>
        <w:spacing w:line="360" w:lineRule="auto"/>
        <w:jc w:val="center"/>
        <w:rPr>
          <w:rFonts w:ascii="Bookman Old Style" w:eastAsia="Calibri" w:hAnsi="Bookman Old Style" w:cs="Segoe UI Light"/>
          <w:b/>
          <w:color w:val="3F0065"/>
          <w:sz w:val="44"/>
          <w:szCs w:val="44"/>
          <w:lang w:val="en-GB"/>
        </w:rPr>
      </w:pPr>
      <w:r w:rsidRPr="00B00E69">
        <w:rPr>
          <w:rFonts w:ascii="Bookman Old Style" w:eastAsia="Calibri" w:hAnsi="Bookman Old Style" w:cs="Segoe UI Light"/>
          <w:b/>
          <w:color w:val="3F0065"/>
          <w:sz w:val="44"/>
          <w:szCs w:val="44"/>
          <w:lang w:val="en-GB"/>
        </w:rPr>
        <w:t>Facilitator Guide</w:t>
      </w:r>
    </w:p>
    <w:p w14:paraId="31AB98F7" w14:textId="227D584E"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MODULE ONE (</w:t>
      </w:r>
      <w:r w:rsidR="00550F2C">
        <w:rPr>
          <w:rFonts w:ascii="Bookman Old Style" w:eastAsia="Calibri" w:hAnsi="Bookman Old Style" w:cs="Segoe UI Light"/>
          <w:b/>
          <w:color w:val="0D0D0D" w:themeColor="text1" w:themeTint="F2"/>
          <w:sz w:val="44"/>
          <w:szCs w:val="44"/>
          <w:lang w:val="en-GB"/>
        </w:rPr>
        <w:t>4</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46858B1A"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242401001-KM-04</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0E989038"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1BCE8FA9"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02A72E3E" w14:textId="0E4B189E"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w:t>
      </w:r>
      <w:proofErr w:type="gramStart"/>
      <w:r w:rsidRPr="009656CE">
        <w:rPr>
          <w:rFonts w:ascii="Bookman Old Style" w:hAnsi="Bookman Old Style" w:cs="Segoe UI Light"/>
          <w:sz w:val="24"/>
          <w:lang w:val="en-GB"/>
        </w:rPr>
        <w:t>main focus</w:t>
      </w:r>
      <w:proofErr w:type="gramEnd"/>
      <w:r w:rsidRPr="009656CE">
        <w:rPr>
          <w:rFonts w:ascii="Bookman Old Style" w:hAnsi="Bookman Old Style" w:cs="Segoe UI Light"/>
          <w:sz w:val="24"/>
          <w:lang w:val="en-GB"/>
        </w:rPr>
        <w:t xml:space="preserve"> of the learning in this knowledge module is to build an understanding of the knowledge required to facilitate learning and development in a variety of occupational contexts to learners with different needs. </w:t>
      </w:r>
    </w:p>
    <w:p w14:paraId="62A5BBB7" w14:textId="77777777"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learning will enable learners to demonstrate an understanding of: </w:t>
      </w:r>
    </w:p>
    <w:p w14:paraId="0B1F485B" w14:textId="4568887A"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KM-04-KT01: Principles and models for facilitation planning and preparation (30%) </w:t>
      </w:r>
    </w:p>
    <w:p w14:paraId="4A27929D" w14:textId="105ADDAB"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KM-04-KT02: Facilitation principles, </w:t>
      </w:r>
      <w:proofErr w:type="gramStart"/>
      <w:r w:rsidRPr="009656CE">
        <w:rPr>
          <w:rFonts w:ascii="Bookman Old Style" w:hAnsi="Bookman Old Style" w:cs="Segoe UI Light"/>
          <w:sz w:val="24"/>
          <w:lang w:val="en-GB"/>
        </w:rPr>
        <w:t>techniques</w:t>
      </w:r>
      <w:proofErr w:type="gramEnd"/>
      <w:r w:rsidRPr="009656CE">
        <w:rPr>
          <w:rFonts w:ascii="Bookman Old Style" w:hAnsi="Bookman Old Style" w:cs="Segoe UI Light"/>
          <w:sz w:val="24"/>
          <w:lang w:val="en-GB"/>
        </w:rPr>
        <w:t xml:space="preserve"> and tools (50%) </w:t>
      </w:r>
    </w:p>
    <w:p w14:paraId="62D67F37" w14:textId="652CF627" w:rsidR="005B1D66"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KM-04-KT03: Evaluating, </w:t>
      </w:r>
      <w:proofErr w:type="gramStart"/>
      <w:r w:rsidRPr="009656CE">
        <w:rPr>
          <w:rFonts w:ascii="Bookman Old Style" w:hAnsi="Bookman Old Style" w:cs="Segoe UI Light"/>
          <w:sz w:val="24"/>
          <w:lang w:val="en-GB"/>
        </w:rPr>
        <w:t>reviewing</w:t>
      </w:r>
      <w:proofErr w:type="gramEnd"/>
      <w:r w:rsidRPr="009656CE">
        <w:rPr>
          <w:rFonts w:ascii="Bookman Old Style" w:hAnsi="Bookman Old Style" w:cs="Segoe UI Light"/>
          <w:sz w:val="24"/>
          <w:lang w:val="en-GB"/>
        </w:rPr>
        <w:t xml:space="preserve"> and reporting on facilitation (20%) </w:t>
      </w:r>
      <w:r w:rsidR="005B1D66" w:rsidRPr="009656CE">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05EAE2AC" w14:textId="77777777" w:rsidR="005B1D66" w:rsidRDefault="005B1D66" w:rsidP="005B1D66">
      <w:pPr>
        <w:spacing w:line="360" w:lineRule="auto"/>
        <w:rPr>
          <w:rFonts w:ascii="Bookman Old Style" w:hAnsi="Bookman Old Style" w:cs="Segoe UI Light"/>
          <w:b/>
          <w:bCs/>
          <w:i/>
          <w:iCs/>
          <w:sz w:val="24"/>
        </w:rPr>
      </w:pP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w:t>
      </w:r>
      <w:proofErr w:type="gramStart"/>
      <w:r w:rsidRPr="009656CE">
        <w:rPr>
          <w:rFonts w:ascii="Bookman Old Style" w:hAnsi="Bookman Old Style" w:cs="Segoe UI Light"/>
          <w:sz w:val="24"/>
        </w:rPr>
        <w:t>experience</w:t>
      </w:r>
      <w:proofErr w:type="gramEnd"/>
      <w:r w:rsidRPr="009656CE">
        <w:rPr>
          <w:rFonts w:ascii="Bookman Old Style" w:hAnsi="Bookman Old Style" w:cs="Segoe UI Light"/>
          <w:sz w:val="24"/>
        </w:rPr>
        <w:t xml:space="preserv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w:t>
      </w:r>
      <w:proofErr w:type="gramStart"/>
      <w:r w:rsidRPr="009656CE">
        <w:rPr>
          <w:rFonts w:ascii="Bookman Old Style" w:hAnsi="Bookman Old Style" w:cs="Segoe UI Light"/>
          <w:sz w:val="24"/>
        </w:rPr>
        <w:t>assignment</w:t>
      </w:r>
      <w:proofErr w:type="gramEnd"/>
      <w:r w:rsidRPr="009656CE">
        <w:rPr>
          <w:rFonts w:ascii="Bookman Old Style" w:hAnsi="Bookman Old Style" w:cs="Segoe UI Light"/>
          <w:sz w:val="24"/>
        </w:rPr>
        <w:t xml:space="preserve">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w:t>
      </w:r>
      <w:proofErr w:type="gramStart"/>
      <w:r w:rsidRPr="009656CE">
        <w:rPr>
          <w:rFonts w:ascii="Bookman Old Style" w:hAnsi="Bookman Old Style" w:cs="Segoe UI Light"/>
          <w:sz w:val="24"/>
        </w:rPr>
        <w:t>know</w:t>
      </w:r>
      <w:proofErr w:type="gramEnd"/>
      <w:r w:rsidRPr="009656CE">
        <w:rPr>
          <w:rFonts w:ascii="Bookman Old Style" w:hAnsi="Bookman Old Style" w:cs="Segoe UI Light"/>
          <w:sz w:val="24"/>
        </w:rPr>
        <w:t xml:space="preserve">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w:t>
      </w:r>
      <w:proofErr w:type="gramStart"/>
      <w:r w:rsidRPr="009656CE">
        <w:rPr>
          <w:rFonts w:ascii="Bookman Old Style" w:hAnsi="Bookman Old Style" w:cs="Segoe UI Light"/>
          <w:sz w:val="24"/>
        </w:rPr>
        <w:t>Moderated</w:t>
      </w:r>
      <w:proofErr w:type="gramEnd"/>
      <w:r w:rsidRPr="009656CE">
        <w:rPr>
          <w:rFonts w:ascii="Bookman Old Style" w:hAnsi="Bookman Old Style" w:cs="Segoe UI Light"/>
          <w:sz w:val="24"/>
        </w:rPr>
        <w:t xml:space="preserve">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w:t>
      </w:r>
      <w:proofErr w:type="gramStart"/>
      <w:r w:rsidRPr="009656CE">
        <w:rPr>
          <w:rFonts w:ascii="Bookman Old Style" w:hAnsi="Bookman Old Style" w:cs="Segoe UI Light"/>
          <w:sz w:val="24"/>
        </w:rPr>
        <w:t>have to</w:t>
      </w:r>
      <w:proofErr w:type="gramEnd"/>
      <w:r w:rsidRPr="009656CE">
        <w:rPr>
          <w:rFonts w:ascii="Bookman Old Style" w:hAnsi="Bookman Old Style" w:cs="Segoe UI Light"/>
          <w:sz w:val="24"/>
        </w:rPr>
        <w:t xml:space="preserve">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w:t>
      </w:r>
      <w:r w:rsidRPr="009656CE">
        <w:rPr>
          <w:rFonts w:ascii="Bookman Old Style" w:hAnsi="Bookman Old Style" w:cs="Segoe UI Light"/>
          <w:sz w:val="24"/>
        </w:rPr>
        <w:lastRenderedPageBreak/>
        <w:t xml:space="preserve">submitted EVIDENCE REQUIRED BY EACH LEARNER: The practical task(s) shall 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is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w:t>
      </w:r>
      <w:proofErr w:type="gramStart"/>
      <w:r w:rsidRPr="009656CE">
        <w:rPr>
          <w:rFonts w:ascii="Bookman Old Style" w:hAnsi="Bookman Old Style" w:cs="Segoe UI Light"/>
          <w:sz w:val="24"/>
        </w:rPr>
        <w:t>in order for</w:t>
      </w:r>
      <w:proofErr w:type="gramEnd"/>
      <w:r w:rsidRPr="009656CE">
        <w:rPr>
          <w:rFonts w:ascii="Bookman Old Style" w:hAnsi="Bookman Old Style" w:cs="Segoe UI Light"/>
          <w:sz w:val="24"/>
        </w:rPr>
        <w:t xml:space="preserve">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015"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33FB8C4B" w14:textId="3D0D6F44" w:rsidR="009656CE"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015" w:history="1">
            <w:r w:rsidR="009656CE" w:rsidRPr="00673104">
              <w:rPr>
                <w:rStyle w:val="Hyperlink"/>
                <w:rFonts w:ascii="Bookman Old Style" w:hAnsi="Bookman Old Style"/>
                <w:noProof/>
              </w:rPr>
              <w:t>TABLE OF CONTENTS</w:t>
            </w:r>
            <w:r w:rsidR="009656CE">
              <w:rPr>
                <w:noProof/>
                <w:webHidden/>
              </w:rPr>
              <w:tab/>
            </w:r>
            <w:r w:rsidR="009656CE">
              <w:rPr>
                <w:noProof/>
                <w:webHidden/>
              </w:rPr>
              <w:fldChar w:fldCharType="begin"/>
            </w:r>
            <w:r w:rsidR="009656CE">
              <w:rPr>
                <w:noProof/>
                <w:webHidden/>
              </w:rPr>
              <w:instrText xml:space="preserve"> PAGEREF _Toc211698015 \h </w:instrText>
            </w:r>
            <w:r w:rsidR="009656CE">
              <w:rPr>
                <w:noProof/>
                <w:webHidden/>
              </w:rPr>
            </w:r>
            <w:r w:rsidR="009656CE">
              <w:rPr>
                <w:noProof/>
                <w:webHidden/>
              </w:rPr>
              <w:fldChar w:fldCharType="separate"/>
            </w:r>
            <w:r w:rsidR="009656CE">
              <w:rPr>
                <w:noProof/>
                <w:webHidden/>
              </w:rPr>
              <w:t>7</w:t>
            </w:r>
            <w:r w:rsidR="009656CE">
              <w:rPr>
                <w:noProof/>
                <w:webHidden/>
              </w:rPr>
              <w:fldChar w:fldCharType="end"/>
            </w:r>
          </w:hyperlink>
        </w:p>
        <w:p w14:paraId="5441F2A2" w14:textId="6E13F36A" w:rsidR="009656CE" w:rsidRDefault="00055D9F">
          <w:pPr>
            <w:pStyle w:val="TOC1"/>
            <w:rPr>
              <w:rFonts w:asciiTheme="minorHAnsi" w:eastAsiaTheme="minorEastAsia" w:hAnsiTheme="minorHAnsi" w:cstheme="minorBidi"/>
              <w:noProof/>
              <w:szCs w:val="22"/>
              <w:lang w:val="en-GB" w:eastAsia="en-GB"/>
            </w:rPr>
          </w:pPr>
          <w:hyperlink w:anchor="_Toc211698016" w:history="1">
            <w:r w:rsidR="009656CE" w:rsidRPr="00673104">
              <w:rPr>
                <w:rStyle w:val="Hyperlink"/>
                <w:rFonts w:ascii="Bookman Old Style" w:hAnsi="Bookman Old Style"/>
                <w:noProof/>
              </w:rPr>
              <w:t>PURPOSE OF THE QUALIFICATION</w:t>
            </w:r>
            <w:r w:rsidR="009656CE">
              <w:rPr>
                <w:noProof/>
                <w:webHidden/>
              </w:rPr>
              <w:tab/>
            </w:r>
            <w:r w:rsidR="009656CE">
              <w:rPr>
                <w:noProof/>
                <w:webHidden/>
              </w:rPr>
              <w:fldChar w:fldCharType="begin"/>
            </w:r>
            <w:r w:rsidR="009656CE">
              <w:rPr>
                <w:noProof/>
                <w:webHidden/>
              </w:rPr>
              <w:instrText xml:space="preserve"> PAGEREF _Toc211698016 \h </w:instrText>
            </w:r>
            <w:r w:rsidR="009656CE">
              <w:rPr>
                <w:noProof/>
                <w:webHidden/>
              </w:rPr>
            </w:r>
            <w:r w:rsidR="009656CE">
              <w:rPr>
                <w:noProof/>
                <w:webHidden/>
              </w:rPr>
              <w:fldChar w:fldCharType="separate"/>
            </w:r>
            <w:r w:rsidR="009656CE">
              <w:rPr>
                <w:noProof/>
                <w:webHidden/>
              </w:rPr>
              <w:t>8</w:t>
            </w:r>
            <w:r w:rsidR="009656CE">
              <w:rPr>
                <w:noProof/>
                <w:webHidden/>
              </w:rPr>
              <w:fldChar w:fldCharType="end"/>
            </w:r>
          </w:hyperlink>
        </w:p>
        <w:p w14:paraId="01062572" w14:textId="04FA36F1" w:rsidR="009656CE" w:rsidRDefault="00055D9F">
          <w:pPr>
            <w:pStyle w:val="TOC1"/>
            <w:rPr>
              <w:rFonts w:asciiTheme="minorHAnsi" w:eastAsiaTheme="minorEastAsia" w:hAnsiTheme="minorHAnsi" w:cstheme="minorBidi"/>
              <w:noProof/>
              <w:szCs w:val="22"/>
              <w:lang w:val="en-GB" w:eastAsia="en-GB"/>
            </w:rPr>
          </w:pPr>
          <w:hyperlink w:anchor="_Toc211698017" w:history="1">
            <w:r w:rsidR="009656CE" w:rsidRPr="00673104">
              <w:rPr>
                <w:rStyle w:val="Hyperlink"/>
                <w:rFonts w:ascii="Bookman Old Style" w:hAnsi="Bookman Old Style"/>
                <w:noProof/>
              </w:rPr>
              <w:t>QUALIFICATION RULES</w:t>
            </w:r>
            <w:r w:rsidR="009656CE">
              <w:rPr>
                <w:noProof/>
                <w:webHidden/>
              </w:rPr>
              <w:tab/>
            </w:r>
            <w:r w:rsidR="009656CE">
              <w:rPr>
                <w:noProof/>
                <w:webHidden/>
              </w:rPr>
              <w:fldChar w:fldCharType="begin"/>
            </w:r>
            <w:r w:rsidR="009656CE">
              <w:rPr>
                <w:noProof/>
                <w:webHidden/>
              </w:rPr>
              <w:instrText xml:space="preserve"> PAGEREF _Toc211698017 \h </w:instrText>
            </w:r>
            <w:r w:rsidR="009656CE">
              <w:rPr>
                <w:noProof/>
                <w:webHidden/>
              </w:rPr>
            </w:r>
            <w:r w:rsidR="009656CE">
              <w:rPr>
                <w:noProof/>
                <w:webHidden/>
              </w:rPr>
              <w:fldChar w:fldCharType="separate"/>
            </w:r>
            <w:r w:rsidR="009656CE">
              <w:rPr>
                <w:noProof/>
                <w:webHidden/>
              </w:rPr>
              <w:t>9</w:t>
            </w:r>
            <w:r w:rsidR="009656CE">
              <w:rPr>
                <w:noProof/>
                <w:webHidden/>
              </w:rPr>
              <w:fldChar w:fldCharType="end"/>
            </w:r>
          </w:hyperlink>
        </w:p>
        <w:p w14:paraId="63D72BCD" w14:textId="3FCFE017" w:rsidR="009656CE" w:rsidRDefault="00055D9F">
          <w:pPr>
            <w:pStyle w:val="TOC1"/>
            <w:rPr>
              <w:rFonts w:asciiTheme="minorHAnsi" w:eastAsiaTheme="minorEastAsia" w:hAnsiTheme="minorHAnsi" w:cstheme="minorBidi"/>
              <w:noProof/>
              <w:szCs w:val="22"/>
              <w:lang w:val="en-GB" w:eastAsia="en-GB"/>
            </w:rPr>
          </w:pPr>
          <w:hyperlink w:anchor="_Toc211698018" w:history="1">
            <w:r w:rsidR="009656CE" w:rsidRPr="00673104">
              <w:rPr>
                <w:rStyle w:val="Hyperlink"/>
                <w:rFonts w:ascii="Bookman Old Style" w:hAnsi="Bookman Old Style"/>
                <w:noProof/>
              </w:rPr>
              <w:t>EXIT LEVEL OUTCOMES</w:t>
            </w:r>
            <w:r w:rsidR="009656CE">
              <w:rPr>
                <w:noProof/>
                <w:webHidden/>
              </w:rPr>
              <w:tab/>
            </w:r>
            <w:r w:rsidR="009656CE">
              <w:rPr>
                <w:noProof/>
                <w:webHidden/>
              </w:rPr>
              <w:fldChar w:fldCharType="begin"/>
            </w:r>
            <w:r w:rsidR="009656CE">
              <w:rPr>
                <w:noProof/>
                <w:webHidden/>
              </w:rPr>
              <w:instrText xml:space="preserve"> PAGEREF _Toc211698018 \h </w:instrText>
            </w:r>
            <w:r w:rsidR="009656CE">
              <w:rPr>
                <w:noProof/>
                <w:webHidden/>
              </w:rPr>
            </w:r>
            <w:r w:rsidR="009656CE">
              <w:rPr>
                <w:noProof/>
                <w:webHidden/>
              </w:rPr>
              <w:fldChar w:fldCharType="separate"/>
            </w:r>
            <w:r w:rsidR="009656CE">
              <w:rPr>
                <w:noProof/>
                <w:webHidden/>
              </w:rPr>
              <w:t>10</w:t>
            </w:r>
            <w:r w:rsidR="009656CE">
              <w:rPr>
                <w:noProof/>
                <w:webHidden/>
              </w:rPr>
              <w:fldChar w:fldCharType="end"/>
            </w:r>
          </w:hyperlink>
        </w:p>
        <w:p w14:paraId="50B849D0" w14:textId="683725E9" w:rsidR="009656CE" w:rsidRDefault="00055D9F">
          <w:pPr>
            <w:pStyle w:val="TOC1"/>
            <w:rPr>
              <w:rFonts w:asciiTheme="minorHAnsi" w:eastAsiaTheme="minorEastAsia" w:hAnsiTheme="minorHAnsi" w:cstheme="minorBidi"/>
              <w:noProof/>
              <w:szCs w:val="22"/>
              <w:lang w:val="en-GB" w:eastAsia="en-GB"/>
            </w:rPr>
          </w:pPr>
          <w:hyperlink w:anchor="_Toc211698019" w:history="1">
            <w:r w:rsidR="009656CE" w:rsidRPr="00673104">
              <w:rPr>
                <w:rStyle w:val="Hyperlink"/>
                <w:rFonts w:ascii="Bookman Old Style" w:hAnsi="Bookman Old Style"/>
                <w:noProof/>
              </w:rPr>
              <w:t>KM-04-KT01: Principles and models for facilitation planning and preparation (30%)</w:t>
            </w:r>
            <w:r w:rsidR="009656CE">
              <w:rPr>
                <w:noProof/>
                <w:webHidden/>
              </w:rPr>
              <w:tab/>
            </w:r>
            <w:r w:rsidR="009656CE">
              <w:rPr>
                <w:noProof/>
                <w:webHidden/>
              </w:rPr>
              <w:fldChar w:fldCharType="begin"/>
            </w:r>
            <w:r w:rsidR="009656CE">
              <w:rPr>
                <w:noProof/>
                <w:webHidden/>
              </w:rPr>
              <w:instrText xml:space="preserve"> PAGEREF _Toc211698019 \h </w:instrText>
            </w:r>
            <w:r w:rsidR="009656CE">
              <w:rPr>
                <w:noProof/>
                <w:webHidden/>
              </w:rPr>
            </w:r>
            <w:r w:rsidR="009656CE">
              <w:rPr>
                <w:noProof/>
                <w:webHidden/>
              </w:rPr>
              <w:fldChar w:fldCharType="separate"/>
            </w:r>
            <w:r w:rsidR="009656CE">
              <w:rPr>
                <w:noProof/>
                <w:webHidden/>
              </w:rPr>
              <w:t>11</w:t>
            </w:r>
            <w:r w:rsidR="009656CE">
              <w:rPr>
                <w:noProof/>
                <w:webHidden/>
              </w:rPr>
              <w:fldChar w:fldCharType="end"/>
            </w:r>
          </w:hyperlink>
        </w:p>
        <w:p w14:paraId="48F49CE9" w14:textId="503727B2" w:rsidR="009656CE" w:rsidRDefault="00055D9F">
          <w:pPr>
            <w:pStyle w:val="TOC1"/>
            <w:rPr>
              <w:rFonts w:asciiTheme="minorHAnsi" w:eastAsiaTheme="minorEastAsia" w:hAnsiTheme="minorHAnsi" w:cstheme="minorBidi"/>
              <w:noProof/>
              <w:szCs w:val="22"/>
              <w:lang w:val="en-GB" w:eastAsia="en-GB"/>
            </w:rPr>
          </w:pPr>
          <w:hyperlink w:anchor="_Toc211698020" w:history="1">
            <w:r w:rsidR="009656CE" w:rsidRPr="00673104">
              <w:rPr>
                <w:rStyle w:val="Hyperlink"/>
                <w:rFonts w:ascii="Bookman Old Style" w:hAnsi="Bookman Old Style"/>
                <w:bCs/>
                <w:noProof/>
              </w:rPr>
              <w:t>KM-04-KT02: Facilitation principles, techniques and tools (50%)</w:t>
            </w:r>
            <w:r w:rsidR="009656CE">
              <w:rPr>
                <w:noProof/>
                <w:webHidden/>
              </w:rPr>
              <w:tab/>
            </w:r>
            <w:r w:rsidR="009656CE">
              <w:rPr>
                <w:noProof/>
                <w:webHidden/>
              </w:rPr>
              <w:fldChar w:fldCharType="begin"/>
            </w:r>
            <w:r w:rsidR="009656CE">
              <w:rPr>
                <w:noProof/>
                <w:webHidden/>
              </w:rPr>
              <w:instrText xml:space="preserve"> PAGEREF _Toc211698020 \h </w:instrText>
            </w:r>
            <w:r w:rsidR="009656CE">
              <w:rPr>
                <w:noProof/>
                <w:webHidden/>
              </w:rPr>
            </w:r>
            <w:r w:rsidR="009656CE">
              <w:rPr>
                <w:noProof/>
                <w:webHidden/>
              </w:rPr>
              <w:fldChar w:fldCharType="separate"/>
            </w:r>
            <w:r w:rsidR="009656CE">
              <w:rPr>
                <w:noProof/>
                <w:webHidden/>
              </w:rPr>
              <w:t>12</w:t>
            </w:r>
            <w:r w:rsidR="009656CE">
              <w:rPr>
                <w:noProof/>
                <w:webHidden/>
              </w:rPr>
              <w:fldChar w:fldCharType="end"/>
            </w:r>
          </w:hyperlink>
        </w:p>
        <w:p w14:paraId="6B346325" w14:textId="35E728EF" w:rsidR="009656CE" w:rsidRDefault="00055D9F">
          <w:pPr>
            <w:pStyle w:val="TOC1"/>
            <w:rPr>
              <w:rFonts w:asciiTheme="minorHAnsi" w:eastAsiaTheme="minorEastAsia" w:hAnsiTheme="minorHAnsi" w:cstheme="minorBidi"/>
              <w:noProof/>
              <w:szCs w:val="22"/>
              <w:lang w:val="en-GB" w:eastAsia="en-GB"/>
            </w:rPr>
          </w:pPr>
          <w:hyperlink w:anchor="_Toc211698021" w:history="1">
            <w:r w:rsidR="009656CE" w:rsidRPr="00673104">
              <w:rPr>
                <w:rStyle w:val="Hyperlink"/>
                <w:rFonts w:ascii="Bookman Old Style" w:hAnsi="Bookman Old Style"/>
                <w:noProof/>
              </w:rPr>
              <w:t>KM-04-KT03: Evaluating, reviewing and reporting on facilitation (20%)</w:t>
            </w:r>
            <w:r w:rsidR="009656CE">
              <w:rPr>
                <w:noProof/>
                <w:webHidden/>
              </w:rPr>
              <w:tab/>
            </w:r>
            <w:r w:rsidR="009656CE">
              <w:rPr>
                <w:noProof/>
                <w:webHidden/>
              </w:rPr>
              <w:fldChar w:fldCharType="begin"/>
            </w:r>
            <w:r w:rsidR="009656CE">
              <w:rPr>
                <w:noProof/>
                <w:webHidden/>
              </w:rPr>
              <w:instrText xml:space="preserve"> PAGEREF _Toc211698021 \h </w:instrText>
            </w:r>
            <w:r w:rsidR="009656CE">
              <w:rPr>
                <w:noProof/>
                <w:webHidden/>
              </w:rPr>
            </w:r>
            <w:r w:rsidR="009656CE">
              <w:rPr>
                <w:noProof/>
                <w:webHidden/>
              </w:rPr>
              <w:fldChar w:fldCharType="separate"/>
            </w:r>
            <w:r w:rsidR="009656CE">
              <w:rPr>
                <w:noProof/>
                <w:webHidden/>
              </w:rPr>
              <w:t>13</w:t>
            </w:r>
            <w:r w:rsidR="009656CE">
              <w:rPr>
                <w:noProof/>
                <w:webHidden/>
              </w:rPr>
              <w:fldChar w:fldCharType="end"/>
            </w:r>
          </w:hyperlink>
        </w:p>
        <w:p w14:paraId="53CC6DBD" w14:textId="3F7D6FC7" w:rsidR="009656CE" w:rsidRDefault="00055D9F">
          <w:pPr>
            <w:pStyle w:val="TOC1"/>
            <w:rPr>
              <w:rFonts w:asciiTheme="minorHAnsi" w:eastAsiaTheme="minorEastAsia" w:hAnsiTheme="minorHAnsi" w:cstheme="minorBidi"/>
              <w:noProof/>
              <w:szCs w:val="22"/>
              <w:lang w:val="en-GB" w:eastAsia="en-GB"/>
            </w:rPr>
          </w:pPr>
          <w:hyperlink w:anchor="_Toc211698022" w:history="1">
            <w:r w:rsidR="009656CE" w:rsidRPr="00673104">
              <w:rPr>
                <w:rStyle w:val="Hyperlink"/>
                <w:rFonts w:ascii="Bookman Old Style" w:hAnsi="Bookman Old Style"/>
                <w:noProof/>
              </w:rPr>
              <w:t>REFERENCES</w:t>
            </w:r>
            <w:r w:rsidR="009656CE">
              <w:rPr>
                <w:noProof/>
                <w:webHidden/>
              </w:rPr>
              <w:tab/>
            </w:r>
            <w:r w:rsidR="009656CE">
              <w:rPr>
                <w:noProof/>
                <w:webHidden/>
              </w:rPr>
              <w:fldChar w:fldCharType="begin"/>
            </w:r>
            <w:r w:rsidR="009656CE">
              <w:rPr>
                <w:noProof/>
                <w:webHidden/>
              </w:rPr>
              <w:instrText xml:space="preserve"> PAGEREF _Toc211698022 \h </w:instrText>
            </w:r>
            <w:r w:rsidR="009656CE">
              <w:rPr>
                <w:noProof/>
                <w:webHidden/>
              </w:rPr>
            </w:r>
            <w:r w:rsidR="009656CE">
              <w:rPr>
                <w:noProof/>
                <w:webHidden/>
              </w:rPr>
              <w:fldChar w:fldCharType="separate"/>
            </w:r>
            <w:r w:rsidR="009656CE">
              <w:rPr>
                <w:noProof/>
                <w:webHidden/>
              </w:rPr>
              <w:t>14</w:t>
            </w:r>
            <w:r w:rsidR="009656CE">
              <w:rPr>
                <w:noProof/>
                <w:webHidden/>
              </w:rPr>
              <w:fldChar w:fldCharType="end"/>
            </w:r>
          </w:hyperlink>
        </w:p>
        <w:p w14:paraId="161654DB" w14:textId="649AC9B1"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016"/>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 xml:space="preserve">A Work Based Learning and Development Practitioner plans for, </w:t>
      </w:r>
      <w:proofErr w:type="gramStart"/>
      <w:r w:rsidRPr="009656CE">
        <w:rPr>
          <w:rFonts w:ascii="Bookman Old Style" w:hAnsi="Bookman Old Style" w:cs="Segoe UI Light"/>
          <w:sz w:val="24"/>
          <w:lang w:eastAsia="en-ZA"/>
        </w:rPr>
        <w:t>conducts</w:t>
      </w:r>
      <w:proofErr w:type="gramEnd"/>
      <w:r w:rsidRPr="009656CE">
        <w:rPr>
          <w:rFonts w:ascii="Bookman Old Style" w:hAnsi="Bookman Old Style" w:cs="Segoe UI Light"/>
          <w:sz w:val="24"/>
          <w:lang w:eastAsia="en-ZA"/>
        </w:rPr>
        <w:t xml:space="preserve">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017"/>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018"/>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Planning of resources and logistics is conducive for efficient and effective learning. o Preparations for the facilitation of learning is aligned to adult learning principles and techniques. o Barriers to learning are dealt with, in the delivery of the learning intervention. o Past experience and prior learning is recognised during the delivery of the learning intervention. o Guidance and support of learners enables them to define outcomes, clarify issues, manage </w:t>
      </w:r>
      <w:proofErr w:type="gramStart"/>
      <w:r w:rsidRPr="009656CE">
        <w:rPr>
          <w:rFonts w:ascii="Bookman Old Style" w:hAnsi="Bookman Old Style" w:cs="Segoe UI Light"/>
          <w:sz w:val="24"/>
        </w:rPr>
        <w:t>expectations</w:t>
      </w:r>
      <w:proofErr w:type="gramEnd"/>
      <w:r w:rsidRPr="009656CE">
        <w:rPr>
          <w:rFonts w:ascii="Bookman Old Style" w:hAnsi="Bookman Old Style" w:cs="Segoe UI Light"/>
          <w:sz w:val="24"/>
        </w:rPr>
        <w:t xml:space="preserve"> and identify learning paths and opportunities.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facilitation plan and process are adapted to meet contextual and learning dynamics. o Active learning is facilitated according to contexts and learning styles, by drawing on appropriate learning methodologies. o Facilitation is conducted in an organised manner that ensures the physical and psycho-social safety of the learners. o Learner progress and effectiveness of the intervention is measured </w:t>
      </w:r>
      <w:proofErr w:type="gramStart"/>
      <w:r w:rsidRPr="009656CE">
        <w:rPr>
          <w:rFonts w:ascii="Bookman Old Style" w:hAnsi="Bookman Old Style" w:cs="Segoe UI Light"/>
          <w:sz w:val="24"/>
        </w:rPr>
        <w:t>continuously</w:t>
      </w:r>
      <w:proofErr w:type="gramEnd"/>
      <w:r w:rsidRPr="009656CE">
        <w:rPr>
          <w:rFonts w:ascii="Bookman Old Style" w:hAnsi="Bookman Old Style" w:cs="Segoe UI Light"/>
          <w:sz w:val="24"/>
        </w:rPr>
        <w:t xml:space="preserve"> and feedback is provided.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dynamics of the learner group are managed in accordance with contextual requirements. o Stakeholder feedback is reflected upon and is used to inform areas of continuous personal development and improvement. o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49B8ED00" w14:textId="05614EC6" w:rsidR="00B00E69" w:rsidRPr="00D200AA" w:rsidRDefault="009656CE" w:rsidP="00D200AA">
      <w:pPr>
        <w:pStyle w:val="Heading1"/>
        <w:numPr>
          <w:ilvl w:val="0"/>
          <w:numId w:val="0"/>
        </w:numPr>
        <w:spacing w:line="360" w:lineRule="auto"/>
        <w:rPr>
          <w:rFonts w:ascii="Bookman Old Style" w:hAnsi="Bookman Old Style"/>
          <w:sz w:val="24"/>
          <w:szCs w:val="24"/>
        </w:rPr>
      </w:pPr>
      <w:bookmarkStart w:id="11" w:name="_Toc211698019"/>
      <w:r w:rsidRPr="009656CE">
        <w:rPr>
          <w:rFonts w:ascii="Bookman Old Style" w:hAnsi="Bookman Old Style"/>
          <w:sz w:val="24"/>
          <w:szCs w:val="24"/>
        </w:rPr>
        <w:lastRenderedPageBreak/>
        <w:t>KM-04-KT01: Principles and models for facilitation planning and preparation (30%)</w:t>
      </w:r>
      <w:bookmarkEnd w:id="11"/>
    </w:p>
    <w:p w14:paraId="2424741F" w14:textId="77777777" w:rsidR="00674D2A" w:rsidRDefault="00B00E69" w:rsidP="00B00E69">
      <w:pPr>
        <w:spacing w:line="360" w:lineRule="auto"/>
        <w:rPr>
          <w:rFonts w:ascii="Bookman Old Style" w:hAnsi="Bookman Old Style" w:cs="Segoe UI Light"/>
          <w:sz w:val="24"/>
          <w:lang w:val="en-GB"/>
        </w:rPr>
      </w:pPr>
      <w:r w:rsidRPr="00674D2A">
        <w:rPr>
          <w:rFonts w:ascii="Bookman Old Style" w:hAnsi="Bookman Old Style" w:cs="Segoe UI Light"/>
          <w:b/>
          <w:bCs/>
          <w:sz w:val="24"/>
          <w:u w:val="single"/>
          <w:lang w:val="en-GB"/>
        </w:rPr>
        <w:t>Q5: What are the key elements of an effective facilitation plan for occupational training?</w:t>
      </w:r>
    </w:p>
    <w:p w14:paraId="11280B94" w14:textId="25877F83" w:rsidR="00B00E69" w:rsidRPr="00B00E69" w:rsidRDefault="00B00E69" w:rsidP="00B00E69">
      <w:pPr>
        <w:spacing w:line="360" w:lineRule="auto"/>
        <w:rPr>
          <w:rFonts w:ascii="Bookman Old Style" w:hAnsi="Bookman Old Style" w:cs="Segoe UI Light"/>
          <w:sz w:val="24"/>
          <w:lang w:val="en-GB"/>
        </w:rPr>
      </w:pPr>
      <w:r w:rsidRPr="00B00E69">
        <w:rPr>
          <w:rFonts w:ascii="Bookman Old Style" w:hAnsi="Bookman Old Style" w:cs="Segoe UI Light"/>
          <w:sz w:val="24"/>
          <w:lang w:val="en-GB"/>
        </w:rPr>
        <w:t>An effective facilitation plan outlines the logical flow of topics, scheduling, and suitable teaching strategies. It begins with clear learning objectives aligned to outcomes. Sequencing ensures concepts build progressively from simple to complex. Lesson plans detail content delivery methods, timing, and materials needed. Incorporating both group and individual activities enhances understanding and participation. Flexibility should be built in to adjust for learner needs or time constraints. Assessment strategies, including formative and summative methods, must be defined. Finally, reflection and feedback mechanisms ensure continuous improvement of facilitation quality.</w:t>
      </w:r>
    </w:p>
    <w:p w14:paraId="1114EACC"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Q6: How do group and individual activities enhance the learning experience in a facilitation plan?</w:t>
      </w:r>
    </w:p>
    <w:p w14:paraId="4850D6CD" w14:textId="6A8050A6" w:rsidR="00B00E69" w:rsidRPr="00B00E69" w:rsidRDefault="00B00E69" w:rsidP="00B00E69">
      <w:pPr>
        <w:spacing w:line="360" w:lineRule="auto"/>
        <w:rPr>
          <w:rFonts w:ascii="Bookman Old Style" w:hAnsi="Bookman Old Style" w:cs="Segoe UI Light"/>
          <w:sz w:val="24"/>
          <w:lang w:val="en-GB"/>
        </w:rPr>
      </w:pPr>
      <w:r w:rsidRPr="00B00E69">
        <w:rPr>
          <w:rFonts w:ascii="Bookman Old Style" w:hAnsi="Bookman Old Style" w:cs="Segoe UI Light"/>
          <w:sz w:val="24"/>
          <w:lang w:val="en-GB"/>
        </w:rPr>
        <w:t>Combining group and individual activities caters to diverse learning preferences and strengthens comprehension. Group tasks encourage teamwork, communication, and problem-solving skills essential in the workplace. Learners benefit from shared experiences and peer learning. Individual tasks, on the other hand, allow for self-paced exploration and personal reflection. They help assess individual competency levels without peer influence. Blending both methods ensures balanced development of collaborative and independent learning abilities. It also keeps learners engaged through variety and interaction. This combination ultimately supports holistic skill acquisition and learner confidence.</w:t>
      </w:r>
    </w:p>
    <w:p w14:paraId="604D4C7D" w14:textId="77777777" w:rsidR="00B00E69" w:rsidRPr="00B00E69" w:rsidRDefault="00055D9F" w:rsidP="00B00E69">
      <w:pPr>
        <w:spacing w:line="360" w:lineRule="auto"/>
        <w:rPr>
          <w:rFonts w:ascii="Bookman Old Style" w:hAnsi="Bookman Old Style" w:cs="Segoe UI Light"/>
          <w:sz w:val="24"/>
          <w:lang w:val="en-GB"/>
        </w:rPr>
      </w:pPr>
      <w:r>
        <w:rPr>
          <w:rFonts w:ascii="Bookman Old Style" w:hAnsi="Bookman Old Style" w:cs="Segoe UI Light"/>
          <w:sz w:val="24"/>
          <w:lang w:val="en-GB"/>
        </w:rPr>
        <w:pict w14:anchorId="30FDC529">
          <v:rect id="_x0000_i1029" style="width:0;height:1.5pt" o:hralign="center" o:hrstd="t" o:hr="t" fillcolor="#a0a0a0" stroked="f"/>
        </w:pict>
      </w:r>
    </w:p>
    <w:p w14:paraId="0A7C9344" w14:textId="7617FE71" w:rsidR="00B00E69" w:rsidRDefault="00B00E69" w:rsidP="00B00E69">
      <w:pPr>
        <w:spacing w:line="360" w:lineRule="auto"/>
        <w:rPr>
          <w:rFonts w:ascii="Bookman Old Style" w:hAnsi="Bookman Old Style" w:cs="Segoe UI Light"/>
          <w:sz w:val="24"/>
          <w:lang w:val="en-GB"/>
        </w:rPr>
      </w:pPr>
      <w:r w:rsidRPr="00674D2A">
        <w:rPr>
          <w:rFonts w:ascii="Bookman Old Style" w:hAnsi="Bookman Old Style" w:cs="Segoe UI Light"/>
          <w:b/>
          <w:bCs/>
          <w:sz w:val="24"/>
          <w:u w:val="single"/>
          <w:lang w:val="en-GB"/>
        </w:rPr>
        <w:t>Q7: What factors contribute to creating an effective and inclusive learning environment?</w:t>
      </w:r>
      <w:r w:rsidRPr="00B00E69">
        <w:rPr>
          <w:rFonts w:ascii="Bookman Old Style" w:hAnsi="Bookman Old Style" w:cs="Segoe UI Light"/>
          <w:sz w:val="24"/>
          <w:lang w:val="en-GB"/>
        </w:rPr>
        <w:br/>
        <w:t xml:space="preserve">An effective learning environment promotes comfort, safety, and engagement for all learners. Physical aspects such as lighting, space, and seating arrangement </w:t>
      </w:r>
      <w:r w:rsidRPr="00B00E69">
        <w:rPr>
          <w:rFonts w:ascii="Bookman Old Style" w:hAnsi="Bookman Old Style" w:cs="Segoe UI Light"/>
          <w:sz w:val="24"/>
          <w:lang w:val="en-GB"/>
        </w:rPr>
        <w:lastRenderedPageBreak/>
        <w:t>influence concentration and collaboration. Digital environments must be user-friendly and accessible. Inclusivity requires accommodating diverse cultural, linguistic, and ability needs. A positive atmosphere built on respect and open communication enhances participation. Access to adequate resources, including learning materials and technology, is essential. Supportive facilitators who encourage feedback and discussion foster motivation. Altogether, these factors create a conducive environment where learners can thrive and achieve outcomes.</w:t>
      </w:r>
    </w:p>
    <w:p w14:paraId="11891B1B" w14:textId="77777777" w:rsidR="00674D2A" w:rsidRPr="00B00E69" w:rsidRDefault="00674D2A" w:rsidP="00B00E69">
      <w:pPr>
        <w:spacing w:line="360" w:lineRule="auto"/>
        <w:rPr>
          <w:rFonts w:ascii="Bookman Old Style" w:hAnsi="Bookman Old Style" w:cs="Segoe UI Light"/>
          <w:sz w:val="24"/>
          <w:lang w:val="en-GB"/>
        </w:rPr>
      </w:pPr>
    </w:p>
    <w:p w14:paraId="2D8C8AE3"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Q8: How can blended learning approaches improve cost-effectiveness and environmental sustainability?</w:t>
      </w:r>
    </w:p>
    <w:p w14:paraId="682A52D2" w14:textId="03B8F465" w:rsidR="00B00E69" w:rsidRPr="00B00E69" w:rsidRDefault="00B00E69" w:rsidP="00B00E69">
      <w:pPr>
        <w:spacing w:line="360" w:lineRule="auto"/>
        <w:rPr>
          <w:rFonts w:ascii="Bookman Old Style" w:hAnsi="Bookman Old Style" w:cs="Segoe UI Light"/>
          <w:sz w:val="24"/>
          <w:lang w:val="en-GB"/>
        </w:rPr>
      </w:pPr>
      <w:r w:rsidRPr="00B00E69">
        <w:rPr>
          <w:rFonts w:ascii="Bookman Old Style" w:hAnsi="Bookman Old Style" w:cs="Segoe UI Light"/>
          <w:sz w:val="24"/>
          <w:lang w:val="en-GB"/>
        </w:rPr>
        <w:t>Blended learning combines online and face-to-face instruction, optimizing resource use and accessibility. It reduces travel and material costs by using digital platforms for theory-based content. Institutions save on physical infrastructure while maintaining flexible scheduling for learners. Digital delivery also minimizes paper use, contributing to environmental sustainability. Learners can access content anytime, promoting self-directed learning. Facilitators can update materials easily, reducing waste and cost. This approach supports scalability without compromising quality. Overall, blended learning offers a modern, eco-friendly, and cost-effective solution for vocational education.</w:t>
      </w:r>
    </w:p>
    <w:p w14:paraId="2C9B7837" w14:textId="77777777" w:rsidR="00D745E0" w:rsidRPr="00380609" w:rsidRDefault="00D745E0" w:rsidP="005B1D66">
      <w:pPr>
        <w:spacing w:line="360" w:lineRule="auto"/>
        <w:rPr>
          <w:rFonts w:ascii="Bookman Old Style" w:hAnsi="Bookman Old Style" w:cs="Segoe UI Light"/>
          <w:sz w:val="24"/>
          <w:lang w:val="en-GB"/>
        </w:rPr>
      </w:pPr>
    </w:p>
    <w:p w14:paraId="6EF95D8D" w14:textId="77777777" w:rsidR="00D745E0" w:rsidRDefault="00D745E0" w:rsidP="005B1D66">
      <w:pPr>
        <w:spacing w:line="360" w:lineRule="auto"/>
        <w:rPr>
          <w:rFonts w:ascii="Bookman Old Style" w:hAnsi="Bookman Old Style" w:cs="Segoe UI Light"/>
          <w:sz w:val="24"/>
          <w:lang w:val="en-GB"/>
        </w:rPr>
      </w:pPr>
    </w:p>
    <w:p w14:paraId="1F49C6CA" w14:textId="77777777" w:rsidR="00EA0585" w:rsidRDefault="00EA0585" w:rsidP="005B1D66">
      <w:pPr>
        <w:spacing w:line="360" w:lineRule="auto"/>
        <w:rPr>
          <w:rFonts w:ascii="Bookman Old Style" w:hAnsi="Bookman Old Style" w:cs="Segoe UI Light"/>
          <w:sz w:val="24"/>
          <w:lang w:val="en-GB"/>
        </w:rPr>
      </w:pPr>
    </w:p>
    <w:p w14:paraId="2126A462" w14:textId="3DFDB53E" w:rsidR="00EA0585" w:rsidRDefault="00EA0585" w:rsidP="005B1D66">
      <w:pPr>
        <w:spacing w:line="360" w:lineRule="auto"/>
        <w:rPr>
          <w:rFonts w:ascii="Bookman Old Style" w:hAnsi="Bookman Old Style" w:cs="Segoe UI Light"/>
          <w:sz w:val="24"/>
          <w:lang w:val="en-GB"/>
        </w:rPr>
      </w:pPr>
    </w:p>
    <w:p w14:paraId="491EF060" w14:textId="42F87F72" w:rsidR="009656CE" w:rsidRDefault="009656CE" w:rsidP="005B1D66">
      <w:pPr>
        <w:spacing w:line="360" w:lineRule="auto"/>
        <w:rPr>
          <w:rFonts w:ascii="Bookman Old Style" w:hAnsi="Bookman Old Style" w:cs="Segoe UI Light"/>
          <w:sz w:val="24"/>
          <w:lang w:val="en-GB"/>
        </w:rPr>
      </w:pPr>
    </w:p>
    <w:p w14:paraId="523E19D2" w14:textId="33716C39" w:rsidR="009656CE" w:rsidRDefault="009656CE" w:rsidP="005B1D66">
      <w:pPr>
        <w:spacing w:line="360" w:lineRule="auto"/>
        <w:rPr>
          <w:rFonts w:ascii="Bookman Old Style" w:hAnsi="Bookman Old Style" w:cs="Segoe UI Light"/>
          <w:sz w:val="24"/>
          <w:lang w:val="en-GB"/>
        </w:rPr>
      </w:pPr>
    </w:p>
    <w:p w14:paraId="2151A5DE" w14:textId="54550359" w:rsidR="009656CE" w:rsidRDefault="009656CE" w:rsidP="005B1D66">
      <w:pPr>
        <w:spacing w:line="360" w:lineRule="auto"/>
        <w:rPr>
          <w:rFonts w:ascii="Bookman Old Style" w:hAnsi="Bookman Old Style" w:cs="Segoe UI Light"/>
          <w:sz w:val="24"/>
          <w:lang w:val="en-GB"/>
        </w:rPr>
      </w:pPr>
    </w:p>
    <w:p w14:paraId="5C6E5508" w14:textId="0FC0FCBC" w:rsidR="009656CE" w:rsidRDefault="009656CE" w:rsidP="005B1D66">
      <w:pPr>
        <w:spacing w:line="360" w:lineRule="auto"/>
        <w:rPr>
          <w:rFonts w:ascii="Bookman Old Style" w:hAnsi="Bookman Old Style" w:cs="Segoe UI Light"/>
          <w:sz w:val="24"/>
          <w:lang w:val="en-GB"/>
        </w:rPr>
      </w:pPr>
    </w:p>
    <w:p w14:paraId="79AC7031" w14:textId="6758F4F8" w:rsidR="009656CE" w:rsidRDefault="009656CE" w:rsidP="005B1D66">
      <w:pPr>
        <w:spacing w:line="360" w:lineRule="auto"/>
        <w:rPr>
          <w:rFonts w:ascii="Bookman Old Style" w:hAnsi="Bookman Old Style" w:cs="Segoe UI Light"/>
          <w:sz w:val="24"/>
          <w:lang w:val="en-GB"/>
        </w:rPr>
      </w:pP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1C5BE724" w14:textId="723248A0" w:rsidR="00170710" w:rsidRPr="009656CE" w:rsidRDefault="009656CE" w:rsidP="005B1D66">
      <w:pPr>
        <w:pStyle w:val="Heading1"/>
        <w:numPr>
          <w:ilvl w:val="0"/>
          <w:numId w:val="0"/>
        </w:numPr>
        <w:spacing w:line="360" w:lineRule="auto"/>
        <w:rPr>
          <w:rFonts w:ascii="Bookman Old Style" w:hAnsi="Bookman Old Style"/>
          <w:bCs/>
          <w:sz w:val="24"/>
          <w:szCs w:val="24"/>
        </w:rPr>
      </w:pPr>
      <w:bookmarkStart w:id="12" w:name="_Toc211698020"/>
      <w:r w:rsidRPr="009656CE">
        <w:rPr>
          <w:rFonts w:ascii="Bookman Old Style" w:hAnsi="Bookman Old Style"/>
          <w:bCs/>
          <w:sz w:val="24"/>
          <w:szCs w:val="24"/>
        </w:rPr>
        <w:lastRenderedPageBreak/>
        <w:t xml:space="preserve">KM-04-KT02: Facilitation principles, </w:t>
      </w:r>
      <w:proofErr w:type="gramStart"/>
      <w:r w:rsidRPr="009656CE">
        <w:rPr>
          <w:rFonts w:ascii="Bookman Old Style" w:hAnsi="Bookman Old Style"/>
          <w:bCs/>
          <w:sz w:val="24"/>
          <w:szCs w:val="24"/>
        </w:rPr>
        <w:t>techniques</w:t>
      </w:r>
      <w:proofErr w:type="gramEnd"/>
      <w:r w:rsidRPr="009656CE">
        <w:rPr>
          <w:rFonts w:ascii="Bookman Old Style" w:hAnsi="Bookman Old Style"/>
          <w:bCs/>
          <w:sz w:val="24"/>
          <w:szCs w:val="24"/>
        </w:rPr>
        <w:t xml:space="preserve"> and tools (50%)</w:t>
      </w:r>
      <w:bookmarkEnd w:id="12"/>
    </w:p>
    <w:p w14:paraId="4CEB5CE2"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Q1: What are the main principles of adult learning that should guide occupational training programs?</w:t>
      </w:r>
    </w:p>
    <w:p w14:paraId="657AE675" w14:textId="7C572CB4"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Cs/>
          <w:sz w:val="24"/>
          <w:lang w:val="en-GB"/>
        </w:rPr>
        <w:t>Adult learning is based on principles that recognize adults as self-directed, experienced, and goal-oriented learners. They prefer learning that is relevant to their current work and personal development. Training must therefore connect directly to real-life occupational challenges. Adults bring prior knowledge and experiences that can be integrated into lessons to enhance engagement. They value respect, autonomy, and participatory learning environments. Practical, problem-solving tasks are more effective than theoretical lectures. Facilitators act as guides rather than instructors, supporting collaboration and reflection. Overall, adult learning thrives on relevance, respect, and active involvement.</w:t>
      </w:r>
    </w:p>
    <w:p w14:paraId="3F6054F6" w14:textId="77777777" w:rsidR="00D200AA" w:rsidRPr="00D200AA" w:rsidRDefault="00B00E69" w:rsidP="00B00E69">
      <w:pPr>
        <w:spacing w:line="360" w:lineRule="auto"/>
        <w:rPr>
          <w:rFonts w:ascii="Bookman Old Style" w:hAnsi="Bookman Old Style" w:cs="Segoe UI Light"/>
          <w:b/>
          <w:bCs/>
          <w:sz w:val="24"/>
          <w:u w:val="single"/>
          <w:lang w:val="en-GB"/>
        </w:rPr>
      </w:pPr>
      <w:r w:rsidRPr="00D200AA">
        <w:rPr>
          <w:rFonts w:ascii="Bookman Old Style" w:hAnsi="Bookman Old Style" w:cs="Segoe UI Light"/>
          <w:b/>
          <w:bCs/>
          <w:sz w:val="24"/>
          <w:u w:val="single"/>
          <w:lang w:val="en-GB"/>
        </w:rPr>
        <w:t>Q2: How can facilitators apply adult learning concepts to improve knowledge retention in the workplace?</w:t>
      </w:r>
    </w:p>
    <w:p w14:paraId="36E80E77" w14:textId="6DA82AF2"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Cs/>
          <w:sz w:val="24"/>
          <w:lang w:val="en-GB"/>
        </w:rPr>
        <w:t>Facilitators can enhance retention by using experiential learning, where adults practice tasks they will perform on the job. Applying the “learn–do–reflect” cycle helps transfer theory into practical skill. Interactive sessions, case studies, and workplace simulations make learning meaningful. Adults should be encouraged to share experiences and solutions, reinforcing peer learning. Immediate feedback strengthens understanding and confidence. Flexibility in pacing and delivery respects individual learning preferences. Linking content to performance outcomes increases motivation to apply new knowledge. This approach ensures learning is internalized and sustained over time.</w:t>
      </w:r>
    </w:p>
    <w:p w14:paraId="7F7FBDA6" w14:textId="77777777" w:rsidR="00B00E69" w:rsidRPr="00B00E69" w:rsidRDefault="00055D9F" w:rsidP="00B00E69">
      <w:pPr>
        <w:spacing w:line="360" w:lineRule="auto"/>
        <w:rPr>
          <w:rFonts w:ascii="Bookman Old Style" w:hAnsi="Bookman Old Style" w:cs="Segoe UI Light"/>
          <w:bCs/>
          <w:sz w:val="24"/>
          <w:lang w:val="en-GB"/>
        </w:rPr>
      </w:pPr>
      <w:r>
        <w:rPr>
          <w:rFonts w:ascii="Bookman Old Style" w:hAnsi="Bookman Old Style" w:cs="Segoe UI Light"/>
          <w:bCs/>
          <w:sz w:val="24"/>
          <w:lang w:val="en-GB"/>
        </w:rPr>
        <w:pict w14:anchorId="086C4728">
          <v:rect id="_x0000_i1030" style="width:0;height:1.5pt" o:hralign="center" o:hrstd="t" o:hr="t" fillcolor="#a0a0a0" stroked="f"/>
        </w:pict>
      </w:r>
    </w:p>
    <w:p w14:paraId="457BBEE7"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Q3: What are the key elements that make a presentation effective for skills transfer in an occupational context?</w:t>
      </w:r>
    </w:p>
    <w:p w14:paraId="02D79EE9" w14:textId="37577584"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Cs/>
          <w:sz w:val="24"/>
          <w:lang w:val="en-GB"/>
        </w:rPr>
        <w:t xml:space="preserve">A strong occupational presentation starts with clear objectives aligned with workplace competencies. The content must be structured logically, moving from basic concepts to advanced applications. Visual aids such as charts, diagrams, and </w:t>
      </w:r>
      <w:r w:rsidRPr="00B00E69">
        <w:rPr>
          <w:rFonts w:ascii="Bookman Old Style" w:hAnsi="Bookman Old Style" w:cs="Segoe UI Light"/>
          <w:bCs/>
          <w:sz w:val="24"/>
          <w:lang w:val="en-GB"/>
        </w:rPr>
        <w:lastRenderedPageBreak/>
        <w:t>demonstrations support comprehension. Simplicity and clarity in language ensure inclusivity across skill levels. Engagement techniques like questioning and group interaction maintain focus. Relevance to real job scenarios enhances understanding and retention. Time management and pacing are essential to sustain attention. Ultimately, the presentation should end with a summary that reinforces key takeaways for practical application.</w:t>
      </w:r>
    </w:p>
    <w:p w14:paraId="193DCA16" w14:textId="77777777" w:rsidR="00674D2A" w:rsidRDefault="00B00E69" w:rsidP="00B00E69">
      <w:pPr>
        <w:spacing w:line="360" w:lineRule="auto"/>
        <w:rPr>
          <w:rFonts w:ascii="Bookman Old Style" w:hAnsi="Bookman Old Style" w:cs="Segoe UI Light"/>
          <w:bCs/>
          <w:sz w:val="24"/>
          <w:lang w:val="en-GB"/>
        </w:rPr>
      </w:pPr>
      <w:r w:rsidRPr="00674D2A">
        <w:rPr>
          <w:rFonts w:ascii="Bookman Old Style" w:hAnsi="Bookman Old Style" w:cs="Segoe UI Light"/>
          <w:b/>
          <w:bCs/>
          <w:sz w:val="24"/>
          <w:u w:val="single"/>
          <w:lang w:val="en-GB"/>
        </w:rPr>
        <w:t>Q4: How does audience analysis contribute to the effectiveness of a skills-transfer presentation?</w:t>
      </w:r>
    </w:p>
    <w:p w14:paraId="24F800C0" w14:textId="727E7D7D"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Cs/>
          <w:sz w:val="24"/>
          <w:lang w:val="en-GB"/>
        </w:rPr>
        <w:t xml:space="preserve">Knowing the audience allows the presenter to tailor content to their needs, experience, and expectations. For example, skilled technicians require deeper technical detail, while new entrants need foundational explanations. Understanding participants’ learning styles helps in choosing the right delivery method—visual, auditory, or </w:t>
      </w:r>
      <w:proofErr w:type="spellStart"/>
      <w:r w:rsidRPr="00B00E69">
        <w:rPr>
          <w:rFonts w:ascii="Bookman Old Style" w:hAnsi="Bookman Old Style" w:cs="Segoe UI Light"/>
          <w:bCs/>
          <w:sz w:val="24"/>
          <w:lang w:val="en-GB"/>
        </w:rPr>
        <w:t>kinesthetic</w:t>
      </w:r>
      <w:proofErr w:type="spellEnd"/>
      <w:r w:rsidRPr="00B00E69">
        <w:rPr>
          <w:rFonts w:ascii="Bookman Old Style" w:hAnsi="Bookman Old Style" w:cs="Segoe UI Light"/>
          <w:bCs/>
          <w:sz w:val="24"/>
          <w:lang w:val="en-GB"/>
        </w:rPr>
        <w:t>. Cultural and language awareness ensures inclusivity and respect. Audience feedback can guide the pace and depth of explanation during delivery. By anticipating challenges or misconceptions, presenters maintain clarity and confidence. This adaptability increases engagement and knowledge transfer. Ultimately, audience-</w:t>
      </w:r>
      <w:proofErr w:type="spellStart"/>
      <w:r w:rsidRPr="00B00E69">
        <w:rPr>
          <w:rFonts w:ascii="Bookman Old Style" w:hAnsi="Bookman Old Style" w:cs="Segoe UI Light"/>
          <w:bCs/>
          <w:sz w:val="24"/>
          <w:lang w:val="en-GB"/>
        </w:rPr>
        <w:t>centered</w:t>
      </w:r>
      <w:proofErr w:type="spellEnd"/>
      <w:r w:rsidRPr="00B00E69">
        <w:rPr>
          <w:rFonts w:ascii="Bookman Old Style" w:hAnsi="Bookman Old Style" w:cs="Segoe UI Light"/>
          <w:bCs/>
          <w:sz w:val="24"/>
          <w:lang w:val="en-GB"/>
        </w:rPr>
        <w:t xml:space="preserve"> presentations lead to measurable workplace improvement.</w:t>
      </w:r>
    </w:p>
    <w:p w14:paraId="7C0FA61E" w14:textId="7F64D32B" w:rsidR="00B00E69" w:rsidRDefault="00B00E69" w:rsidP="005B1D66">
      <w:pPr>
        <w:spacing w:line="360" w:lineRule="auto"/>
        <w:rPr>
          <w:rFonts w:ascii="Bookman Old Style" w:hAnsi="Bookman Old Style" w:cs="Segoe UI Light"/>
          <w:b/>
          <w:i/>
          <w:iCs/>
          <w:sz w:val="24"/>
          <w:lang w:val="en-GB"/>
        </w:rPr>
      </w:pPr>
    </w:p>
    <w:p w14:paraId="5A0605A4" w14:textId="34134982" w:rsidR="00B00E69" w:rsidRDefault="00B00E69" w:rsidP="005B1D66">
      <w:pPr>
        <w:spacing w:line="360" w:lineRule="auto"/>
        <w:rPr>
          <w:rFonts w:ascii="Bookman Old Style" w:hAnsi="Bookman Old Style" w:cs="Segoe UI Light"/>
          <w:b/>
          <w:i/>
          <w:iCs/>
          <w:sz w:val="24"/>
          <w:lang w:val="en-GB"/>
        </w:rPr>
      </w:pPr>
    </w:p>
    <w:p w14:paraId="62F7CD67" w14:textId="578FC5B4" w:rsidR="00B00E69" w:rsidRDefault="00B00E69" w:rsidP="005B1D66">
      <w:pPr>
        <w:spacing w:line="360" w:lineRule="auto"/>
        <w:rPr>
          <w:rFonts w:ascii="Bookman Old Style" w:hAnsi="Bookman Old Style" w:cs="Segoe UI Light"/>
          <w:b/>
          <w:i/>
          <w:iCs/>
          <w:sz w:val="24"/>
          <w:lang w:val="en-GB"/>
        </w:rPr>
      </w:pPr>
    </w:p>
    <w:p w14:paraId="41A069B3" w14:textId="4203D3AA" w:rsidR="00B00E69" w:rsidRDefault="00B00E69" w:rsidP="005B1D66">
      <w:pPr>
        <w:spacing w:line="360" w:lineRule="auto"/>
        <w:rPr>
          <w:rFonts w:ascii="Bookman Old Style" w:hAnsi="Bookman Old Style" w:cs="Segoe UI Light"/>
          <w:b/>
          <w:i/>
          <w:iCs/>
          <w:sz w:val="24"/>
          <w:lang w:val="en-GB"/>
        </w:rPr>
      </w:pPr>
    </w:p>
    <w:p w14:paraId="27DC0038" w14:textId="3E01278E" w:rsidR="00B00E69" w:rsidRDefault="00B00E69" w:rsidP="005B1D66">
      <w:pPr>
        <w:spacing w:line="360" w:lineRule="auto"/>
        <w:rPr>
          <w:rFonts w:ascii="Bookman Old Style" w:hAnsi="Bookman Old Style" w:cs="Segoe UI Light"/>
          <w:b/>
          <w:i/>
          <w:iCs/>
          <w:sz w:val="24"/>
          <w:lang w:val="en-GB"/>
        </w:rPr>
      </w:pPr>
    </w:p>
    <w:p w14:paraId="4D5749CD" w14:textId="28B727CC" w:rsidR="00B00E69" w:rsidRDefault="00B00E69" w:rsidP="005B1D66">
      <w:pPr>
        <w:spacing w:line="360" w:lineRule="auto"/>
        <w:rPr>
          <w:rFonts w:ascii="Bookman Old Style" w:hAnsi="Bookman Old Style" w:cs="Segoe UI Light"/>
          <w:b/>
          <w:i/>
          <w:iCs/>
          <w:sz w:val="24"/>
          <w:lang w:val="en-GB"/>
        </w:rPr>
      </w:pPr>
    </w:p>
    <w:p w14:paraId="157E8D49" w14:textId="32FEEAA2" w:rsidR="00B00E69" w:rsidRDefault="00B00E69" w:rsidP="005B1D66">
      <w:pPr>
        <w:spacing w:line="360" w:lineRule="auto"/>
        <w:rPr>
          <w:rFonts w:ascii="Bookman Old Style" w:hAnsi="Bookman Old Style" w:cs="Segoe UI Light"/>
          <w:b/>
          <w:i/>
          <w:iCs/>
          <w:sz w:val="24"/>
          <w:lang w:val="en-GB"/>
        </w:rPr>
      </w:pPr>
    </w:p>
    <w:p w14:paraId="787C1CC5" w14:textId="4C689C30" w:rsidR="00B00E69" w:rsidRDefault="00B00E69" w:rsidP="005B1D66">
      <w:pPr>
        <w:spacing w:line="360" w:lineRule="auto"/>
        <w:rPr>
          <w:rFonts w:ascii="Bookman Old Style" w:hAnsi="Bookman Old Style" w:cs="Segoe UI Light"/>
          <w:b/>
          <w:i/>
          <w:iCs/>
          <w:sz w:val="24"/>
          <w:lang w:val="en-GB"/>
        </w:rPr>
      </w:pPr>
    </w:p>
    <w:p w14:paraId="643CC98F" w14:textId="0B0D50EA" w:rsidR="00B00E69" w:rsidRDefault="00B00E69" w:rsidP="005B1D66">
      <w:pPr>
        <w:spacing w:line="360" w:lineRule="auto"/>
        <w:rPr>
          <w:rFonts w:ascii="Bookman Old Style" w:hAnsi="Bookman Old Style" w:cs="Segoe UI Light"/>
          <w:b/>
          <w:i/>
          <w:iCs/>
          <w:sz w:val="24"/>
          <w:lang w:val="en-GB"/>
        </w:rPr>
      </w:pPr>
    </w:p>
    <w:p w14:paraId="18E5CBF2" w14:textId="42CDB976" w:rsidR="00B00E69" w:rsidRDefault="00B00E69" w:rsidP="005B1D66">
      <w:pPr>
        <w:spacing w:line="360" w:lineRule="auto"/>
        <w:rPr>
          <w:rFonts w:ascii="Bookman Old Style" w:hAnsi="Bookman Old Style" w:cs="Segoe UI Light"/>
          <w:b/>
          <w:i/>
          <w:iCs/>
          <w:sz w:val="24"/>
          <w:lang w:val="en-GB"/>
        </w:rPr>
      </w:pPr>
    </w:p>
    <w:p w14:paraId="6B1AC529" w14:textId="77777777" w:rsidR="006367F8" w:rsidRPr="00380609" w:rsidRDefault="006367F8" w:rsidP="005B1D66">
      <w:pPr>
        <w:spacing w:line="360" w:lineRule="auto"/>
        <w:rPr>
          <w:rFonts w:ascii="Bookman Old Style" w:hAnsi="Bookman Old Style" w:cs="Segoe UI Light"/>
          <w:bCs/>
          <w:sz w:val="24"/>
          <w:lang w:val="en-GB"/>
        </w:rPr>
      </w:pPr>
    </w:p>
    <w:p w14:paraId="0EB8E6C5" w14:textId="49D28F3D" w:rsidR="00674D2A" w:rsidRPr="00D200AA" w:rsidRDefault="009656CE" w:rsidP="00D200AA">
      <w:pPr>
        <w:pStyle w:val="Heading1"/>
        <w:numPr>
          <w:ilvl w:val="0"/>
          <w:numId w:val="0"/>
        </w:numPr>
        <w:spacing w:line="360" w:lineRule="auto"/>
        <w:rPr>
          <w:rFonts w:ascii="Bookman Old Style" w:hAnsi="Bookman Old Style"/>
          <w:sz w:val="24"/>
          <w:szCs w:val="24"/>
        </w:rPr>
      </w:pPr>
      <w:bookmarkStart w:id="13" w:name="_Toc211698021"/>
      <w:r w:rsidRPr="009656CE">
        <w:rPr>
          <w:rFonts w:ascii="Bookman Old Style" w:hAnsi="Bookman Old Style"/>
          <w:sz w:val="24"/>
          <w:szCs w:val="24"/>
        </w:rPr>
        <w:lastRenderedPageBreak/>
        <w:t xml:space="preserve">KM-04-KT03: Evaluating, </w:t>
      </w:r>
      <w:proofErr w:type="gramStart"/>
      <w:r w:rsidRPr="009656CE">
        <w:rPr>
          <w:rFonts w:ascii="Bookman Old Style" w:hAnsi="Bookman Old Style"/>
          <w:sz w:val="24"/>
          <w:szCs w:val="24"/>
        </w:rPr>
        <w:t>reviewing</w:t>
      </w:r>
      <w:proofErr w:type="gramEnd"/>
      <w:r w:rsidRPr="009656CE">
        <w:rPr>
          <w:rFonts w:ascii="Bookman Old Style" w:hAnsi="Bookman Old Style"/>
          <w:sz w:val="24"/>
          <w:szCs w:val="24"/>
        </w:rPr>
        <w:t xml:space="preserve"> and reporting on facilitation (20%)</w:t>
      </w:r>
      <w:bookmarkEnd w:id="13"/>
    </w:p>
    <w:p w14:paraId="5FB426B3"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Q5: What is meant by learning intervention review, and how does it relate to continuous quality improvement (CQI)?</w:t>
      </w:r>
    </w:p>
    <w:p w14:paraId="74C7E4A9" w14:textId="3E9B6D2E" w:rsid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
          <w:bCs/>
          <w:sz w:val="24"/>
          <w:lang w:val="en-GB"/>
        </w:rPr>
        <w:t>A5:</w:t>
      </w:r>
      <w:r w:rsidRPr="00B00E69">
        <w:rPr>
          <w:rFonts w:ascii="Bookman Old Style" w:hAnsi="Bookman Old Style" w:cs="Segoe UI Light"/>
          <w:bCs/>
          <w:sz w:val="24"/>
          <w:lang w:val="en-GB"/>
        </w:rPr>
        <w:t xml:space="preserve"> A learning intervention review is a systematic evaluation of training activities to determine their relevance, effectiveness, and impact. It assesses how well the learning outcomes align with workplace needs and organizational goals. Continuous quality improvement (CQI) extends this review into an ongoing cycle of planning, action, evaluation, and refinement. Together, they ensure that learning remains dynamic and responsive to change. Regular reviews identify emerging gaps or outdated content, prompting timely updates. CQI emphasizes data-driven decisions and stakeholder input for holistic improvement. This integration fosters sustained excellence in education and training delivery.</w:t>
      </w:r>
    </w:p>
    <w:p w14:paraId="6BB86556" w14:textId="77777777" w:rsidR="00674D2A" w:rsidRPr="00B00E69" w:rsidRDefault="00674D2A" w:rsidP="00B00E69">
      <w:pPr>
        <w:spacing w:line="360" w:lineRule="auto"/>
        <w:rPr>
          <w:rFonts w:ascii="Bookman Old Style" w:hAnsi="Bookman Old Style" w:cs="Segoe UI Light"/>
          <w:bCs/>
          <w:sz w:val="24"/>
          <w:lang w:val="en-GB"/>
        </w:rPr>
      </w:pPr>
    </w:p>
    <w:p w14:paraId="6CF2EDD8"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Q6: What steps can be taken to implement continuous quality improvement in learning programs?</w:t>
      </w:r>
    </w:p>
    <w:p w14:paraId="339C298C" w14:textId="1C14761A" w:rsidR="00B00E69" w:rsidRPr="00674D2A" w:rsidRDefault="00B00E69" w:rsidP="00B00E69">
      <w:pPr>
        <w:spacing w:line="360" w:lineRule="auto"/>
        <w:rPr>
          <w:rFonts w:ascii="Bookman Old Style" w:hAnsi="Bookman Old Style" w:cs="Segoe UI Light"/>
          <w:b/>
          <w:bCs/>
          <w:sz w:val="24"/>
          <w:lang w:val="en-GB"/>
        </w:rPr>
      </w:pPr>
      <w:r w:rsidRPr="00B00E69">
        <w:rPr>
          <w:rFonts w:ascii="Bookman Old Style" w:hAnsi="Bookman Old Style" w:cs="Segoe UI Light"/>
          <w:bCs/>
          <w:sz w:val="24"/>
          <w:lang w:val="en-GB"/>
        </w:rPr>
        <w:t>Implementing CQI in learning programs involves a structured, cyclical approach. The process begins with setting clear objectives and measurable indicators. Data is collected through feedback, assessments, and observations to evaluate current performance. Analysis identifies gaps and opportunities for improvement. Action plans are then developed to address these findings through curriculum updates, facilitator training, or resource enhancement. Results are monitored to measure progress and impact. The cycle repeats regularly to sustain growth. Embedding CQI as an organizational culture ensures long-term adaptability, relevance, and excellence in learning delivery.</w:t>
      </w:r>
    </w:p>
    <w:p w14:paraId="08F2A6F8" w14:textId="58037F9D" w:rsidR="00B00E69" w:rsidRPr="00B00E69" w:rsidRDefault="00B00E69" w:rsidP="00B00E69">
      <w:pPr>
        <w:spacing w:line="360" w:lineRule="auto"/>
        <w:rPr>
          <w:rFonts w:ascii="Bookman Old Style" w:hAnsi="Bookman Old Style" w:cs="Segoe UI Light"/>
          <w:bCs/>
          <w:sz w:val="24"/>
          <w:lang w:val="en-GB"/>
        </w:rPr>
      </w:pPr>
    </w:p>
    <w:p w14:paraId="563F45BB"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Q7: How can facilitators integrate multiple review processes for a more comprehensive evaluation?</w:t>
      </w:r>
    </w:p>
    <w:p w14:paraId="6A4B18C0" w14:textId="5462F02C"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Cs/>
          <w:sz w:val="24"/>
          <w:lang w:val="en-GB"/>
        </w:rPr>
        <w:t xml:space="preserve">Facilitators can combine learner feedback, peer review, and self-evaluation to achieve a 360-degree perspective on learning quality. Each process offers unique </w:t>
      </w:r>
      <w:r w:rsidRPr="00B00E69">
        <w:rPr>
          <w:rFonts w:ascii="Bookman Old Style" w:hAnsi="Bookman Old Style" w:cs="Segoe UI Light"/>
          <w:bCs/>
          <w:sz w:val="24"/>
          <w:lang w:val="en-GB"/>
        </w:rPr>
        <w:lastRenderedPageBreak/>
        <w:t>insights—learners reveal engagement levels, peers assess delivery methods, and self-evaluation encourages introspection. Integrating assessment data and client feedback ensures that both educational and business goals are met. A triangulated approach minimizes bias and enhances accuracy. Facilitators can then prioritize improvements supported by multiple data sources. Regular integration of these reviews supports accountability and professional growth. This holistic strategy aligns with best practices in quality assurance and continuous improvement.</w:t>
      </w:r>
    </w:p>
    <w:p w14:paraId="2AB6AF44"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Q8: Why is reflective practice important in maintaining continuous improvement in training?</w:t>
      </w:r>
    </w:p>
    <w:p w14:paraId="5E016167" w14:textId="69061DEB"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Cs/>
          <w:sz w:val="24"/>
          <w:lang w:val="en-GB"/>
        </w:rPr>
        <w:t>Reflective practice allows facilitators to critically examine their teaching strategies, decisions, and learner outcomes. It bridges the gap between theory and practice by encouraging thoughtful self-assessment. Reflection helps identify what works, what doesn’t, and why, leading to targeted adjustments. Keeping reflective journals or conducting post-session debriefs reinforces learning from experience. It also promotes personal growth, adaptability, and emotional intelligence in facilitation. When combined with formal feedback and review data, reflection strengthens professional competence. Ultimately, reflective practice is the cornerstone of continuous improvement, ensuring ongoing innovation and quality in occupational learning.</w:t>
      </w:r>
    </w:p>
    <w:p w14:paraId="31CE9F9C" w14:textId="77777777" w:rsidR="003917CB" w:rsidRPr="00B00E69" w:rsidRDefault="003917CB" w:rsidP="005B1D66">
      <w:pPr>
        <w:spacing w:line="360" w:lineRule="auto"/>
        <w:rPr>
          <w:rFonts w:ascii="Bookman Old Style" w:hAnsi="Bookman Old Style" w:cs="Segoe UI Light"/>
          <w:bCs/>
          <w:sz w:val="24"/>
          <w:lang w:val="en-GB"/>
        </w:rPr>
      </w:pPr>
    </w:p>
    <w:p w14:paraId="209A6029" w14:textId="4BC61312" w:rsidR="003917CB" w:rsidRDefault="003917CB" w:rsidP="005B1D66">
      <w:pPr>
        <w:spacing w:line="360" w:lineRule="auto"/>
        <w:rPr>
          <w:rFonts w:ascii="Bookman Old Style" w:hAnsi="Bookman Old Style" w:cs="Segoe UI Light"/>
          <w:b/>
          <w:sz w:val="24"/>
          <w:lang w:val="en-GB"/>
        </w:rPr>
      </w:pPr>
    </w:p>
    <w:p w14:paraId="08D66B4A" w14:textId="4D426E98" w:rsidR="009656CE" w:rsidRDefault="009656CE" w:rsidP="005B1D66">
      <w:pPr>
        <w:spacing w:line="360" w:lineRule="auto"/>
        <w:rPr>
          <w:rFonts w:ascii="Bookman Old Style" w:hAnsi="Bookman Old Style" w:cs="Segoe UI Light"/>
          <w:b/>
          <w:sz w:val="24"/>
          <w:lang w:val="en-GB"/>
        </w:rPr>
      </w:pPr>
    </w:p>
    <w:p w14:paraId="0899AC0B" w14:textId="50059FAB" w:rsidR="009656CE" w:rsidRDefault="009656CE" w:rsidP="005B1D66">
      <w:pPr>
        <w:spacing w:line="360" w:lineRule="auto"/>
        <w:rPr>
          <w:rFonts w:ascii="Bookman Old Style" w:hAnsi="Bookman Old Style" w:cs="Segoe UI Light"/>
          <w:b/>
          <w:sz w:val="24"/>
          <w:lang w:val="en-GB"/>
        </w:rPr>
      </w:pPr>
    </w:p>
    <w:p w14:paraId="02CB3A44" w14:textId="7BCC6C1B" w:rsidR="009656CE" w:rsidRDefault="009656CE" w:rsidP="005B1D66">
      <w:pPr>
        <w:spacing w:line="360" w:lineRule="auto"/>
        <w:rPr>
          <w:rFonts w:ascii="Bookman Old Style" w:hAnsi="Bookman Old Style" w:cs="Segoe UI Light"/>
          <w:b/>
          <w:sz w:val="24"/>
          <w:lang w:val="en-GB"/>
        </w:rPr>
      </w:pPr>
    </w:p>
    <w:p w14:paraId="6C5C3C8B" w14:textId="6EA9C049" w:rsidR="009656CE" w:rsidRDefault="009656CE" w:rsidP="005B1D66">
      <w:pPr>
        <w:spacing w:line="360" w:lineRule="auto"/>
        <w:rPr>
          <w:rFonts w:ascii="Bookman Old Style" w:hAnsi="Bookman Old Style" w:cs="Segoe UI Light"/>
          <w:b/>
          <w:sz w:val="24"/>
          <w:lang w:val="en-GB"/>
        </w:rPr>
      </w:pPr>
    </w:p>
    <w:p w14:paraId="0142A124" w14:textId="0B4B8279" w:rsidR="009656CE" w:rsidRDefault="009656CE" w:rsidP="005B1D66">
      <w:pPr>
        <w:spacing w:line="360" w:lineRule="auto"/>
        <w:rPr>
          <w:rFonts w:ascii="Bookman Old Style" w:hAnsi="Bookman Old Style" w:cs="Segoe UI Light"/>
          <w:b/>
          <w:sz w:val="24"/>
          <w:lang w:val="en-GB"/>
        </w:rPr>
      </w:pPr>
    </w:p>
    <w:p w14:paraId="6AD90457" w14:textId="04DDA281" w:rsidR="009656CE" w:rsidRDefault="009656CE" w:rsidP="005B1D66">
      <w:pPr>
        <w:spacing w:line="360" w:lineRule="auto"/>
        <w:rPr>
          <w:rFonts w:ascii="Bookman Old Style" w:hAnsi="Bookman Old Style" w:cs="Segoe UI Light"/>
          <w:b/>
          <w:sz w:val="24"/>
          <w:lang w:val="en-GB"/>
        </w:rPr>
      </w:pPr>
    </w:p>
    <w:p w14:paraId="45AFE27D" w14:textId="43BE3FB4" w:rsidR="009656CE" w:rsidRDefault="009656CE" w:rsidP="005B1D66">
      <w:pPr>
        <w:spacing w:line="360" w:lineRule="auto"/>
        <w:rPr>
          <w:rFonts w:ascii="Bookman Old Style" w:hAnsi="Bookman Old Style" w:cs="Segoe UI Light"/>
          <w:b/>
          <w:sz w:val="24"/>
          <w:lang w:val="en-GB"/>
        </w:rPr>
      </w:pPr>
    </w:p>
    <w:p w14:paraId="749EC776" w14:textId="08D5F164" w:rsidR="009656CE" w:rsidRDefault="009656CE" w:rsidP="005B1D66">
      <w:pPr>
        <w:spacing w:line="360" w:lineRule="auto"/>
        <w:rPr>
          <w:rFonts w:ascii="Bookman Old Style" w:hAnsi="Bookman Old Style" w:cs="Segoe UI Light"/>
          <w:b/>
          <w:sz w:val="24"/>
          <w:lang w:val="en-GB"/>
        </w:rPr>
      </w:pPr>
    </w:p>
    <w:p w14:paraId="129A50BD" w14:textId="65C6B18F" w:rsidR="009656CE" w:rsidRDefault="009656CE" w:rsidP="005B1D66">
      <w:pPr>
        <w:spacing w:line="360" w:lineRule="auto"/>
        <w:rPr>
          <w:rFonts w:ascii="Bookman Old Style" w:hAnsi="Bookman Old Style" w:cs="Segoe UI Light"/>
          <w:b/>
          <w:sz w:val="24"/>
          <w:lang w:val="en-GB"/>
        </w:rPr>
      </w:pPr>
    </w:p>
    <w:p w14:paraId="12969D09" w14:textId="5CA469D9" w:rsidR="009656CE" w:rsidRDefault="009656CE" w:rsidP="005B1D66">
      <w:pPr>
        <w:spacing w:line="360" w:lineRule="auto"/>
        <w:rPr>
          <w:rFonts w:ascii="Bookman Old Style" w:hAnsi="Bookman Old Style" w:cs="Segoe UI Light"/>
          <w:b/>
          <w:sz w:val="24"/>
          <w:lang w:val="en-GB"/>
        </w:rPr>
      </w:pPr>
    </w:p>
    <w:p w14:paraId="2A7D985A" w14:textId="5E89A5EC"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p>
    <w:p w14:paraId="6D0773CB" w14:textId="77777777" w:rsidR="009656CE" w:rsidRPr="00380609" w:rsidRDefault="009656CE" w:rsidP="005B1D66">
      <w:pPr>
        <w:spacing w:line="360" w:lineRule="auto"/>
        <w:rPr>
          <w:rFonts w:ascii="Bookman Old Style" w:hAnsi="Bookman Old Style" w:cs="Segoe UI Light"/>
          <w:b/>
          <w:sz w:val="24"/>
          <w:lang w:val="en-GB"/>
        </w:rPr>
      </w:pPr>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9"/>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CBCD2" w14:textId="77777777" w:rsidR="00055D9F" w:rsidRDefault="00055D9F" w:rsidP="0078391C">
      <w:r>
        <w:separator/>
      </w:r>
    </w:p>
  </w:endnote>
  <w:endnote w:type="continuationSeparator" w:id="0">
    <w:p w14:paraId="7737C521" w14:textId="77777777" w:rsidR="00055D9F" w:rsidRDefault="00055D9F"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4D"/>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val="en-GB" w:eastAsia="en-GB"/>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xmlns:w16du="http://schemas.microsoft.com/office/word/2023/wordml/word16du" xmlns:oel="http://schemas.microsoft.com/office/2019/extlst">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6F024A">
          <w:rPr>
            <w:rFonts w:cs="Segoe UI Light"/>
            <w:noProof/>
            <w:sz w:val="20"/>
            <w:szCs w:val="20"/>
          </w:rPr>
          <w:t>5</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14FD1" w14:textId="77777777" w:rsidR="00055D9F" w:rsidRDefault="00055D9F" w:rsidP="0078391C">
      <w:r>
        <w:separator/>
      </w:r>
    </w:p>
  </w:footnote>
  <w:footnote w:type="continuationSeparator" w:id="0">
    <w:p w14:paraId="6BE8BF22" w14:textId="77777777" w:rsidR="00055D9F" w:rsidRDefault="00055D9F" w:rsidP="00783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4" style="width:0;height:1.5pt" o:hralign="center" o:bullet="t" o:hrstd="t" o:hr="t" fillcolor="#a0a0a0" stroked="f"/>
    </w:pict>
  </w:numPicBullet>
  <w:numPicBullet w:numPicBulletId="1">
    <w:pict>
      <v:rect id="_x0000_i1045" style="width:0;height:1.5pt" o:hralign="center" o:bullet="t" o:hrstd="t" o:hr="t" fillcolor="#a0a0a0" stroked="f"/>
    </w:pict>
  </w:numPicBullet>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9012AD"/>
    <w:multiLevelType w:val="hybridMultilevel"/>
    <w:tmpl w:val="61464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40465E"/>
    <w:multiLevelType w:val="hybridMultilevel"/>
    <w:tmpl w:val="A196A9FE"/>
    <w:lvl w:ilvl="0" w:tplc="E14A86C4">
      <w:start w:val="1"/>
      <w:numFmt w:val="bullet"/>
      <w:lvlText w:val=""/>
      <w:lvlPicBulletId w:val="0"/>
      <w:lvlJc w:val="left"/>
      <w:pPr>
        <w:tabs>
          <w:tab w:val="num" w:pos="720"/>
        </w:tabs>
        <w:ind w:left="720" w:hanging="360"/>
      </w:pPr>
      <w:rPr>
        <w:rFonts w:ascii="Symbol" w:hAnsi="Symbol" w:hint="default"/>
      </w:rPr>
    </w:lvl>
    <w:lvl w:ilvl="1" w:tplc="705862FE" w:tentative="1">
      <w:start w:val="1"/>
      <w:numFmt w:val="bullet"/>
      <w:lvlText w:val=""/>
      <w:lvlJc w:val="left"/>
      <w:pPr>
        <w:tabs>
          <w:tab w:val="num" w:pos="1440"/>
        </w:tabs>
        <w:ind w:left="1440" w:hanging="360"/>
      </w:pPr>
      <w:rPr>
        <w:rFonts w:ascii="Symbol" w:hAnsi="Symbol" w:hint="default"/>
      </w:rPr>
    </w:lvl>
    <w:lvl w:ilvl="2" w:tplc="2E945970" w:tentative="1">
      <w:start w:val="1"/>
      <w:numFmt w:val="bullet"/>
      <w:lvlText w:val=""/>
      <w:lvlJc w:val="left"/>
      <w:pPr>
        <w:tabs>
          <w:tab w:val="num" w:pos="2160"/>
        </w:tabs>
        <w:ind w:left="2160" w:hanging="360"/>
      </w:pPr>
      <w:rPr>
        <w:rFonts w:ascii="Symbol" w:hAnsi="Symbol" w:hint="default"/>
      </w:rPr>
    </w:lvl>
    <w:lvl w:ilvl="3" w:tplc="B15A4962" w:tentative="1">
      <w:start w:val="1"/>
      <w:numFmt w:val="bullet"/>
      <w:lvlText w:val=""/>
      <w:lvlJc w:val="left"/>
      <w:pPr>
        <w:tabs>
          <w:tab w:val="num" w:pos="2880"/>
        </w:tabs>
        <w:ind w:left="2880" w:hanging="360"/>
      </w:pPr>
      <w:rPr>
        <w:rFonts w:ascii="Symbol" w:hAnsi="Symbol" w:hint="default"/>
      </w:rPr>
    </w:lvl>
    <w:lvl w:ilvl="4" w:tplc="8C44A90E" w:tentative="1">
      <w:start w:val="1"/>
      <w:numFmt w:val="bullet"/>
      <w:lvlText w:val=""/>
      <w:lvlJc w:val="left"/>
      <w:pPr>
        <w:tabs>
          <w:tab w:val="num" w:pos="3600"/>
        </w:tabs>
        <w:ind w:left="3600" w:hanging="360"/>
      </w:pPr>
      <w:rPr>
        <w:rFonts w:ascii="Symbol" w:hAnsi="Symbol" w:hint="default"/>
      </w:rPr>
    </w:lvl>
    <w:lvl w:ilvl="5" w:tplc="0F3CAF90" w:tentative="1">
      <w:start w:val="1"/>
      <w:numFmt w:val="bullet"/>
      <w:lvlText w:val=""/>
      <w:lvlJc w:val="left"/>
      <w:pPr>
        <w:tabs>
          <w:tab w:val="num" w:pos="4320"/>
        </w:tabs>
        <w:ind w:left="4320" w:hanging="360"/>
      </w:pPr>
      <w:rPr>
        <w:rFonts w:ascii="Symbol" w:hAnsi="Symbol" w:hint="default"/>
      </w:rPr>
    </w:lvl>
    <w:lvl w:ilvl="6" w:tplc="B70CF7A2" w:tentative="1">
      <w:start w:val="1"/>
      <w:numFmt w:val="bullet"/>
      <w:lvlText w:val=""/>
      <w:lvlJc w:val="left"/>
      <w:pPr>
        <w:tabs>
          <w:tab w:val="num" w:pos="5040"/>
        </w:tabs>
        <w:ind w:left="5040" w:hanging="360"/>
      </w:pPr>
      <w:rPr>
        <w:rFonts w:ascii="Symbol" w:hAnsi="Symbol" w:hint="default"/>
      </w:rPr>
    </w:lvl>
    <w:lvl w:ilvl="7" w:tplc="BFC0C3FA" w:tentative="1">
      <w:start w:val="1"/>
      <w:numFmt w:val="bullet"/>
      <w:lvlText w:val=""/>
      <w:lvlJc w:val="left"/>
      <w:pPr>
        <w:tabs>
          <w:tab w:val="num" w:pos="5760"/>
        </w:tabs>
        <w:ind w:left="5760" w:hanging="360"/>
      </w:pPr>
      <w:rPr>
        <w:rFonts w:ascii="Symbol" w:hAnsi="Symbol" w:hint="default"/>
      </w:rPr>
    </w:lvl>
    <w:lvl w:ilvl="8" w:tplc="D75C6398"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62A5C1E"/>
    <w:multiLevelType w:val="hybridMultilevel"/>
    <w:tmpl w:val="8144722A"/>
    <w:lvl w:ilvl="0" w:tplc="2A0EE91E">
      <w:start w:val="1"/>
      <w:numFmt w:val="bullet"/>
      <w:lvlText w:val=""/>
      <w:lvlPicBulletId w:val="1"/>
      <w:lvlJc w:val="left"/>
      <w:pPr>
        <w:tabs>
          <w:tab w:val="num" w:pos="720"/>
        </w:tabs>
        <w:ind w:left="720" w:hanging="360"/>
      </w:pPr>
      <w:rPr>
        <w:rFonts w:ascii="Symbol" w:hAnsi="Symbol" w:hint="default"/>
      </w:rPr>
    </w:lvl>
    <w:lvl w:ilvl="1" w:tplc="B204DDB4" w:tentative="1">
      <w:start w:val="1"/>
      <w:numFmt w:val="bullet"/>
      <w:lvlText w:val=""/>
      <w:lvlJc w:val="left"/>
      <w:pPr>
        <w:tabs>
          <w:tab w:val="num" w:pos="1440"/>
        </w:tabs>
        <w:ind w:left="1440" w:hanging="360"/>
      </w:pPr>
      <w:rPr>
        <w:rFonts w:ascii="Symbol" w:hAnsi="Symbol" w:hint="default"/>
      </w:rPr>
    </w:lvl>
    <w:lvl w:ilvl="2" w:tplc="F8BAAFA2" w:tentative="1">
      <w:start w:val="1"/>
      <w:numFmt w:val="bullet"/>
      <w:lvlText w:val=""/>
      <w:lvlJc w:val="left"/>
      <w:pPr>
        <w:tabs>
          <w:tab w:val="num" w:pos="2160"/>
        </w:tabs>
        <w:ind w:left="2160" w:hanging="360"/>
      </w:pPr>
      <w:rPr>
        <w:rFonts w:ascii="Symbol" w:hAnsi="Symbol" w:hint="default"/>
      </w:rPr>
    </w:lvl>
    <w:lvl w:ilvl="3" w:tplc="75CE008E" w:tentative="1">
      <w:start w:val="1"/>
      <w:numFmt w:val="bullet"/>
      <w:lvlText w:val=""/>
      <w:lvlJc w:val="left"/>
      <w:pPr>
        <w:tabs>
          <w:tab w:val="num" w:pos="2880"/>
        </w:tabs>
        <w:ind w:left="2880" w:hanging="360"/>
      </w:pPr>
      <w:rPr>
        <w:rFonts w:ascii="Symbol" w:hAnsi="Symbol" w:hint="default"/>
      </w:rPr>
    </w:lvl>
    <w:lvl w:ilvl="4" w:tplc="C3C292EA" w:tentative="1">
      <w:start w:val="1"/>
      <w:numFmt w:val="bullet"/>
      <w:lvlText w:val=""/>
      <w:lvlJc w:val="left"/>
      <w:pPr>
        <w:tabs>
          <w:tab w:val="num" w:pos="3600"/>
        </w:tabs>
        <w:ind w:left="3600" w:hanging="360"/>
      </w:pPr>
      <w:rPr>
        <w:rFonts w:ascii="Symbol" w:hAnsi="Symbol" w:hint="default"/>
      </w:rPr>
    </w:lvl>
    <w:lvl w:ilvl="5" w:tplc="8FBA69D6" w:tentative="1">
      <w:start w:val="1"/>
      <w:numFmt w:val="bullet"/>
      <w:lvlText w:val=""/>
      <w:lvlJc w:val="left"/>
      <w:pPr>
        <w:tabs>
          <w:tab w:val="num" w:pos="4320"/>
        </w:tabs>
        <w:ind w:left="4320" w:hanging="360"/>
      </w:pPr>
      <w:rPr>
        <w:rFonts w:ascii="Symbol" w:hAnsi="Symbol" w:hint="default"/>
      </w:rPr>
    </w:lvl>
    <w:lvl w:ilvl="6" w:tplc="98EC1BD0" w:tentative="1">
      <w:start w:val="1"/>
      <w:numFmt w:val="bullet"/>
      <w:lvlText w:val=""/>
      <w:lvlJc w:val="left"/>
      <w:pPr>
        <w:tabs>
          <w:tab w:val="num" w:pos="5040"/>
        </w:tabs>
        <w:ind w:left="5040" w:hanging="360"/>
      </w:pPr>
      <w:rPr>
        <w:rFonts w:ascii="Symbol" w:hAnsi="Symbol" w:hint="default"/>
      </w:rPr>
    </w:lvl>
    <w:lvl w:ilvl="7" w:tplc="56E05AF2" w:tentative="1">
      <w:start w:val="1"/>
      <w:numFmt w:val="bullet"/>
      <w:lvlText w:val=""/>
      <w:lvlJc w:val="left"/>
      <w:pPr>
        <w:tabs>
          <w:tab w:val="num" w:pos="5760"/>
        </w:tabs>
        <w:ind w:left="5760" w:hanging="360"/>
      </w:pPr>
      <w:rPr>
        <w:rFonts w:ascii="Symbol" w:hAnsi="Symbol" w:hint="default"/>
      </w:rPr>
    </w:lvl>
    <w:lvl w:ilvl="8" w:tplc="935A6862"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19" w15:restartNumberingAfterBreak="0">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2" w15:restartNumberingAfterBreak="0">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3"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28" w15:restartNumberingAfterBreak="0">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2"/>
  </w:num>
  <w:num w:numId="3">
    <w:abstractNumId w:val="16"/>
  </w:num>
  <w:num w:numId="4">
    <w:abstractNumId w:val="31"/>
  </w:num>
  <w:num w:numId="5">
    <w:abstractNumId w:val="26"/>
  </w:num>
  <w:num w:numId="6">
    <w:abstractNumId w:val="2"/>
  </w:num>
  <w:num w:numId="7">
    <w:abstractNumId w:val="18"/>
  </w:num>
  <w:num w:numId="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21"/>
  </w:num>
  <w:num w:numId="13">
    <w:abstractNumId w:val="15"/>
  </w:num>
  <w:num w:numId="14">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7"/>
  </w:num>
  <w:num w:numId="19">
    <w:abstractNumId w:val="0"/>
  </w:num>
  <w:num w:numId="20">
    <w:abstractNumId w:val="10"/>
  </w:num>
  <w:num w:numId="21">
    <w:abstractNumId w:val="24"/>
  </w:num>
  <w:num w:numId="22">
    <w:abstractNumId w:val="29"/>
  </w:num>
  <w:num w:numId="23">
    <w:abstractNumId w:val="34"/>
  </w:num>
  <w:num w:numId="24">
    <w:abstractNumId w:val="11"/>
  </w:num>
  <w:num w:numId="25">
    <w:abstractNumId w:val="25"/>
  </w:num>
  <w:num w:numId="26">
    <w:abstractNumId w:val="20"/>
  </w:num>
  <w:num w:numId="27">
    <w:abstractNumId w:val="9"/>
  </w:num>
  <w:num w:numId="28">
    <w:abstractNumId w:val="33"/>
  </w:num>
  <w:num w:numId="29">
    <w:abstractNumId w:val="1"/>
  </w:num>
  <w:num w:numId="30">
    <w:abstractNumId w:val="28"/>
  </w:num>
  <w:num w:numId="31">
    <w:abstractNumId w:val="7"/>
  </w:num>
  <w:num w:numId="32">
    <w:abstractNumId w:val="30"/>
  </w:num>
  <w:num w:numId="33">
    <w:abstractNumId w:val="6"/>
  </w:num>
  <w:num w:numId="34">
    <w:abstractNumId w:val="12"/>
  </w:num>
  <w:num w:numId="35">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4E95"/>
    <w:rsid w:val="000552F8"/>
    <w:rsid w:val="00055D9F"/>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2F8"/>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50A34"/>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0F2C"/>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4D2A"/>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0E69"/>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1BD"/>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0AA"/>
    <w:rsid w:val="00D20ABE"/>
    <w:rsid w:val="00D2304F"/>
    <w:rsid w:val="00D23EF9"/>
    <w:rsid w:val="00D24EDF"/>
    <w:rsid w:val="00D25735"/>
    <w:rsid w:val="00D2792B"/>
    <w:rsid w:val="00D31496"/>
    <w:rsid w:val="00D31E18"/>
    <w:rsid w:val="00D33AED"/>
    <w:rsid w:val="00D34667"/>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9941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4607923">
      <w:bodyDiv w:val="1"/>
      <w:marLeft w:val="0"/>
      <w:marRight w:val="0"/>
      <w:marTop w:val="0"/>
      <w:marBottom w:val="0"/>
      <w:divBdr>
        <w:top w:val="none" w:sz="0" w:space="0" w:color="auto"/>
        <w:left w:val="none" w:sz="0" w:space="0" w:color="auto"/>
        <w:bottom w:val="none" w:sz="0" w:space="0" w:color="auto"/>
        <w:right w:val="none" w:sz="0" w:space="0" w:color="auto"/>
      </w:divBdr>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47168581">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1016952">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A250-96C5-F940-BB68-E66CEA8FC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4602</TotalTime>
  <Pages>17</Pages>
  <Words>2811</Words>
  <Characters>16029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18803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LAZARUS CHIDUMWA</cp:lastModifiedBy>
  <cp:revision>478</cp:revision>
  <cp:lastPrinted>2017-07-28T11:51:00Z</cp:lastPrinted>
  <dcterms:created xsi:type="dcterms:W3CDTF">2021-08-11T05:48:00Z</dcterms:created>
  <dcterms:modified xsi:type="dcterms:W3CDTF">2025-10-20T13:35:00Z</dcterms:modified>
</cp:coreProperties>
</file>