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58AEC" w14:textId="77777777"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E36610C" w14:textId="4D8FC4EC" w:rsidR="009656CE" w:rsidRDefault="00C45200" w:rsidP="005B1D66">
      <w:pPr>
        <w:spacing w:line="360" w:lineRule="auto"/>
        <w:jc w:val="center"/>
        <w:rPr>
          <w:rFonts w:ascii="Bookman Old Style" w:eastAsia="Calibri" w:hAnsi="Bookman Old Style" w:cs="Segoe UI Light"/>
          <w:b/>
          <w:color w:val="00B050"/>
          <w:sz w:val="44"/>
          <w:szCs w:val="44"/>
          <w:lang w:val="en-GB"/>
        </w:rPr>
      </w:pPr>
      <w:r w:rsidRPr="00C45200">
        <w:rPr>
          <w:rFonts w:ascii="Bookman Old Style" w:eastAsia="Calibri" w:hAnsi="Bookman Old Style" w:cs="Segoe UI Light"/>
          <w:b/>
          <w:color w:val="00B050"/>
          <w:sz w:val="44"/>
          <w:szCs w:val="44"/>
          <w:lang w:val="en-GB"/>
        </w:rPr>
        <w:t>242401001-KM-07, Work based learning, NQF Level 5, Credits 6</w:t>
      </w:r>
    </w:p>
    <w:p w14:paraId="1F8263A2" w14:textId="683505C8"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52BB1E1" w14:textId="77777777" w:rsidR="00C45200" w:rsidRPr="005F2329" w:rsidRDefault="00C45200" w:rsidP="005B1D66">
      <w:pPr>
        <w:spacing w:line="360" w:lineRule="auto"/>
        <w:jc w:val="center"/>
        <w:rPr>
          <w:rFonts w:ascii="Bookman Old Style" w:eastAsia="Calibri" w:hAnsi="Bookman Old Style" w:cs="Segoe UI Light"/>
          <w:b/>
          <w:color w:val="3F0065"/>
          <w:sz w:val="44"/>
          <w:szCs w:val="44"/>
          <w:lang w:val="en-GB"/>
        </w:rPr>
      </w:pPr>
    </w:p>
    <w:p w14:paraId="07B479A6" w14:textId="77777777" w:rsidR="0099522E" w:rsidRPr="005F2329" w:rsidRDefault="0099522E" w:rsidP="005B1D66">
      <w:pPr>
        <w:spacing w:line="360" w:lineRule="auto"/>
        <w:jc w:val="center"/>
        <w:rPr>
          <w:rFonts w:ascii="Bookman Old Style" w:eastAsia="Calibri" w:hAnsi="Bookman Old Style" w:cs="Segoe UI Light"/>
          <w:b/>
          <w:color w:val="3F0065"/>
          <w:sz w:val="44"/>
          <w:szCs w:val="44"/>
          <w:lang w:val="en-GB"/>
        </w:rPr>
      </w:pPr>
      <w:r w:rsidRPr="005F2329">
        <w:rPr>
          <w:rFonts w:ascii="Bookman Old Style" w:eastAsia="Calibri" w:hAnsi="Bookman Old Style" w:cs="Segoe UI Light"/>
          <w:b/>
          <w:color w:val="3F0065"/>
          <w:sz w:val="44"/>
          <w:szCs w:val="44"/>
          <w:lang w:val="en-GB"/>
        </w:rPr>
        <w:t>LEARNER GUIDE</w:t>
      </w:r>
    </w:p>
    <w:p w14:paraId="31AB98F7" w14:textId="7DF1F84E"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 xml:space="preserve">MODULE </w:t>
      </w:r>
      <w:r w:rsidR="00C45200">
        <w:rPr>
          <w:rFonts w:ascii="Bookman Old Style" w:eastAsia="Calibri" w:hAnsi="Bookman Old Style" w:cs="Segoe UI Light"/>
          <w:b/>
          <w:color w:val="0D0D0D" w:themeColor="text1" w:themeTint="F2"/>
          <w:sz w:val="44"/>
          <w:szCs w:val="44"/>
          <w:lang w:val="en-GB"/>
        </w:rPr>
        <w:t>SEVEN</w:t>
      </w:r>
      <w:r w:rsidRPr="009656CE">
        <w:rPr>
          <w:rFonts w:ascii="Bookman Old Style" w:eastAsia="Calibri" w:hAnsi="Bookman Old Style" w:cs="Segoe UI Light"/>
          <w:b/>
          <w:color w:val="0D0D0D" w:themeColor="text1" w:themeTint="F2"/>
          <w:sz w:val="44"/>
          <w:szCs w:val="44"/>
          <w:lang w:val="en-GB"/>
        </w:rPr>
        <w:t xml:space="preserve"> (</w:t>
      </w:r>
      <w:r w:rsidR="00C45200">
        <w:rPr>
          <w:rFonts w:ascii="Bookman Old Style" w:eastAsia="Calibri" w:hAnsi="Bookman Old Style" w:cs="Segoe UI Light"/>
          <w:b/>
          <w:color w:val="0D0D0D" w:themeColor="text1" w:themeTint="F2"/>
          <w:sz w:val="44"/>
          <w:szCs w:val="44"/>
          <w:lang w:val="en-GB"/>
        </w:rPr>
        <w:t>7</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2BF12C05"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w:t>
            </w:r>
            <w:r w:rsidR="00C45200">
              <w:rPr>
                <w:rFonts w:ascii="Bookman Old Style" w:eastAsiaTheme="minorHAnsi" w:hAnsi="Bookman Old Style" w:cs="Segoe UI Light"/>
                <w:sz w:val="24"/>
              </w:rPr>
              <w:t>7</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536259B2"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54A26F20"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19B3AFF7" w14:textId="01A0A99A"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main focus of the learning in this knowledge module is to build an understanding of work-based learning and learner support practices. </w:t>
      </w:r>
    </w:p>
    <w:p w14:paraId="1D7245B7" w14:textId="77777777"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learning will enable learners to demonstrate an understanding of: </w:t>
      </w:r>
    </w:p>
    <w:p w14:paraId="6364200C" w14:textId="2A7EA60F" w:rsidR="00C45200" w:rsidRPr="00C45200" w:rsidRDefault="00C45200" w:rsidP="008A5553">
      <w:pPr>
        <w:pStyle w:val="ListParagraph"/>
        <w:numPr>
          <w:ilvl w:val="0"/>
          <w:numId w:val="32"/>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KM-07-KT01: Delivery models (learnerships, internships, experiential learning, apprenticeships) (30%) </w:t>
      </w:r>
    </w:p>
    <w:p w14:paraId="132E4A79" w14:textId="57B54C9D" w:rsidR="00C45200" w:rsidRPr="00C45200" w:rsidRDefault="00C45200" w:rsidP="008A5553">
      <w:pPr>
        <w:pStyle w:val="ListParagraph"/>
        <w:numPr>
          <w:ilvl w:val="0"/>
          <w:numId w:val="32"/>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KM-07-KT02: Planning and scheduling work-based learning (20%) </w:t>
      </w:r>
    </w:p>
    <w:p w14:paraId="71EBBCD3" w14:textId="190D07A3" w:rsidR="00C45200" w:rsidRPr="00C45200" w:rsidRDefault="00C45200" w:rsidP="008A5553">
      <w:pPr>
        <w:pStyle w:val="ListParagraph"/>
        <w:numPr>
          <w:ilvl w:val="0"/>
          <w:numId w:val="32"/>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KM-07-KT03: Facilitation of work-based learning (30%) </w:t>
      </w:r>
    </w:p>
    <w:p w14:paraId="62D67F37" w14:textId="50962A31" w:rsidR="005B1D66" w:rsidRPr="00C45200" w:rsidRDefault="00C45200" w:rsidP="008A5553">
      <w:pPr>
        <w:pStyle w:val="ListParagraph"/>
        <w:numPr>
          <w:ilvl w:val="0"/>
          <w:numId w:val="32"/>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KM-07-KT04: Evaluation of learner progression (20%) </w:t>
      </w:r>
      <w:r w:rsidR="005B1D66" w:rsidRPr="00C45200">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8A5553">
      <w:pPr>
        <w:pStyle w:val="ListParagraph"/>
        <w:numPr>
          <w:ilvl w:val="0"/>
          <w:numId w:val="27"/>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8A5553">
      <w:pPr>
        <w:pStyle w:val="ListParagraph"/>
        <w:numPr>
          <w:ilvl w:val="0"/>
          <w:numId w:val="27"/>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8A5553">
      <w:pPr>
        <w:pStyle w:val="ListParagraph"/>
        <w:numPr>
          <w:ilvl w:val="0"/>
          <w:numId w:val="27"/>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8A5553">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8A5553">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experience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8A5553">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assignment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know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Moderated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have to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submitted EVIDENCE REQUIRED BY EACH LEARNER: The practical task(s) shall </w:t>
      </w:r>
      <w:r w:rsidRPr="009656CE">
        <w:rPr>
          <w:rFonts w:ascii="Bookman Old Style" w:hAnsi="Bookman Old Style" w:cs="Segoe UI Light"/>
          <w:sz w:val="24"/>
        </w:rPr>
        <w:lastRenderedPageBreak/>
        <w:t xml:space="preserve">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 </w:t>
      </w:r>
      <w:proofErr w:type="gramStart"/>
      <w:r w:rsidRPr="009656CE">
        <w:rPr>
          <w:rFonts w:ascii="Bookman Old Style" w:hAnsi="Bookman Old Style" w:cs="Segoe UI Light"/>
          <w:sz w:val="24"/>
        </w:rPr>
        <w:t>is</w:t>
      </w:r>
      <w:proofErr w:type="gramEnd"/>
      <w:r w:rsidRPr="009656CE">
        <w:rPr>
          <w:rFonts w:ascii="Bookman Old Style" w:hAnsi="Bookman Old Style" w:cs="Segoe UI Light"/>
          <w:sz w:val="24"/>
        </w:rPr>
        <w:t xml:space="preserve">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in order for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277"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58098A78" w14:textId="582677D0" w:rsidR="00C45200"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277" w:history="1">
            <w:r w:rsidR="00C45200" w:rsidRPr="00920144">
              <w:rPr>
                <w:rStyle w:val="Hyperlink"/>
                <w:rFonts w:ascii="Bookman Old Style" w:hAnsi="Bookman Old Style"/>
                <w:noProof/>
              </w:rPr>
              <w:t>TABLE OF CONTENTS</w:t>
            </w:r>
            <w:r w:rsidR="00C45200">
              <w:rPr>
                <w:noProof/>
                <w:webHidden/>
              </w:rPr>
              <w:tab/>
            </w:r>
            <w:r w:rsidR="00C45200">
              <w:rPr>
                <w:noProof/>
                <w:webHidden/>
              </w:rPr>
              <w:fldChar w:fldCharType="begin"/>
            </w:r>
            <w:r w:rsidR="00C45200">
              <w:rPr>
                <w:noProof/>
                <w:webHidden/>
              </w:rPr>
              <w:instrText xml:space="preserve"> PAGEREF _Toc211698277 \h </w:instrText>
            </w:r>
            <w:r w:rsidR="00C45200">
              <w:rPr>
                <w:noProof/>
                <w:webHidden/>
              </w:rPr>
            </w:r>
            <w:r w:rsidR="00C45200">
              <w:rPr>
                <w:noProof/>
                <w:webHidden/>
              </w:rPr>
              <w:fldChar w:fldCharType="separate"/>
            </w:r>
            <w:r w:rsidR="005F62A4">
              <w:rPr>
                <w:noProof/>
                <w:webHidden/>
              </w:rPr>
              <w:t>7</w:t>
            </w:r>
            <w:r w:rsidR="00C45200">
              <w:rPr>
                <w:noProof/>
                <w:webHidden/>
              </w:rPr>
              <w:fldChar w:fldCharType="end"/>
            </w:r>
          </w:hyperlink>
        </w:p>
        <w:p w14:paraId="0111F6C3" w14:textId="162B6083" w:rsidR="00C45200" w:rsidRDefault="001F7998">
          <w:pPr>
            <w:pStyle w:val="TOC1"/>
            <w:rPr>
              <w:rFonts w:asciiTheme="minorHAnsi" w:eastAsiaTheme="minorEastAsia" w:hAnsiTheme="minorHAnsi" w:cstheme="minorBidi"/>
              <w:noProof/>
              <w:szCs w:val="22"/>
              <w:lang w:val="en-GB" w:eastAsia="en-GB"/>
            </w:rPr>
          </w:pPr>
          <w:hyperlink w:anchor="_Toc211698278" w:history="1">
            <w:r w:rsidR="00C45200" w:rsidRPr="00920144">
              <w:rPr>
                <w:rStyle w:val="Hyperlink"/>
                <w:rFonts w:ascii="Bookman Old Style" w:hAnsi="Bookman Old Style"/>
                <w:noProof/>
              </w:rPr>
              <w:t>PURPOSE OF THE QUALIFICATION</w:t>
            </w:r>
            <w:r w:rsidR="00C45200">
              <w:rPr>
                <w:noProof/>
                <w:webHidden/>
              </w:rPr>
              <w:tab/>
            </w:r>
            <w:r w:rsidR="00C45200">
              <w:rPr>
                <w:noProof/>
                <w:webHidden/>
              </w:rPr>
              <w:fldChar w:fldCharType="begin"/>
            </w:r>
            <w:r w:rsidR="00C45200">
              <w:rPr>
                <w:noProof/>
                <w:webHidden/>
              </w:rPr>
              <w:instrText xml:space="preserve"> PAGEREF _Toc211698278 \h </w:instrText>
            </w:r>
            <w:r w:rsidR="00C45200">
              <w:rPr>
                <w:noProof/>
                <w:webHidden/>
              </w:rPr>
            </w:r>
            <w:r w:rsidR="00C45200">
              <w:rPr>
                <w:noProof/>
                <w:webHidden/>
              </w:rPr>
              <w:fldChar w:fldCharType="separate"/>
            </w:r>
            <w:r w:rsidR="005F62A4">
              <w:rPr>
                <w:noProof/>
                <w:webHidden/>
              </w:rPr>
              <w:t>8</w:t>
            </w:r>
            <w:r w:rsidR="00C45200">
              <w:rPr>
                <w:noProof/>
                <w:webHidden/>
              </w:rPr>
              <w:fldChar w:fldCharType="end"/>
            </w:r>
          </w:hyperlink>
        </w:p>
        <w:p w14:paraId="29345029" w14:textId="5CCECFD2" w:rsidR="00C45200" w:rsidRDefault="001F7998">
          <w:pPr>
            <w:pStyle w:val="TOC1"/>
            <w:rPr>
              <w:rFonts w:asciiTheme="minorHAnsi" w:eastAsiaTheme="minorEastAsia" w:hAnsiTheme="minorHAnsi" w:cstheme="minorBidi"/>
              <w:noProof/>
              <w:szCs w:val="22"/>
              <w:lang w:val="en-GB" w:eastAsia="en-GB"/>
            </w:rPr>
          </w:pPr>
          <w:hyperlink w:anchor="_Toc211698279" w:history="1">
            <w:r w:rsidR="00C45200" w:rsidRPr="00920144">
              <w:rPr>
                <w:rStyle w:val="Hyperlink"/>
                <w:rFonts w:ascii="Bookman Old Style" w:hAnsi="Bookman Old Style"/>
                <w:noProof/>
              </w:rPr>
              <w:t>QUALIFICATION RULES</w:t>
            </w:r>
            <w:r w:rsidR="00C45200">
              <w:rPr>
                <w:noProof/>
                <w:webHidden/>
              </w:rPr>
              <w:tab/>
            </w:r>
            <w:r w:rsidR="00C45200">
              <w:rPr>
                <w:noProof/>
                <w:webHidden/>
              </w:rPr>
              <w:fldChar w:fldCharType="begin"/>
            </w:r>
            <w:r w:rsidR="00C45200">
              <w:rPr>
                <w:noProof/>
                <w:webHidden/>
              </w:rPr>
              <w:instrText xml:space="preserve"> PAGEREF _Toc211698279 \h </w:instrText>
            </w:r>
            <w:r w:rsidR="00C45200">
              <w:rPr>
                <w:noProof/>
                <w:webHidden/>
              </w:rPr>
            </w:r>
            <w:r w:rsidR="00C45200">
              <w:rPr>
                <w:noProof/>
                <w:webHidden/>
              </w:rPr>
              <w:fldChar w:fldCharType="separate"/>
            </w:r>
            <w:r w:rsidR="005F62A4">
              <w:rPr>
                <w:noProof/>
                <w:webHidden/>
              </w:rPr>
              <w:t>9</w:t>
            </w:r>
            <w:r w:rsidR="00C45200">
              <w:rPr>
                <w:noProof/>
                <w:webHidden/>
              </w:rPr>
              <w:fldChar w:fldCharType="end"/>
            </w:r>
          </w:hyperlink>
        </w:p>
        <w:p w14:paraId="56F40D03" w14:textId="0F78C5B6" w:rsidR="00C45200" w:rsidRDefault="001F7998">
          <w:pPr>
            <w:pStyle w:val="TOC1"/>
            <w:rPr>
              <w:rFonts w:asciiTheme="minorHAnsi" w:eastAsiaTheme="minorEastAsia" w:hAnsiTheme="minorHAnsi" w:cstheme="minorBidi"/>
              <w:noProof/>
              <w:szCs w:val="22"/>
              <w:lang w:val="en-GB" w:eastAsia="en-GB"/>
            </w:rPr>
          </w:pPr>
          <w:hyperlink w:anchor="_Toc211698280" w:history="1">
            <w:r w:rsidR="00C45200" w:rsidRPr="00920144">
              <w:rPr>
                <w:rStyle w:val="Hyperlink"/>
                <w:rFonts w:ascii="Bookman Old Style" w:hAnsi="Bookman Old Style"/>
                <w:noProof/>
              </w:rPr>
              <w:t>EXIT LEVEL OUTCOMES</w:t>
            </w:r>
            <w:r w:rsidR="00C45200">
              <w:rPr>
                <w:noProof/>
                <w:webHidden/>
              </w:rPr>
              <w:tab/>
            </w:r>
            <w:r w:rsidR="00C45200">
              <w:rPr>
                <w:noProof/>
                <w:webHidden/>
              </w:rPr>
              <w:fldChar w:fldCharType="begin"/>
            </w:r>
            <w:r w:rsidR="00C45200">
              <w:rPr>
                <w:noProof/>
                <w:webHidden/>
              </w:rPr>
              <w:instrText xml:space="preserve"> PAGEREF _Toc211698280 \h </w:instrText>
            </w:r>
            <w:r w:rsidR="00C45200">
              <w:rPr>
                <w:noProof/>
                <w:webHidden/>
              </w:rPr>
            </w:r>
            <w:r w:rsidR="00C45200">
              <w:rPr>
                <w:noProof/>
                <w:webHidden/>
              </w:rPr>
              <w:fldChar w:fldCharType="separate"/>
            </w:r>
            <w:r w:rsidR="005F62A4">
              <w:rPr>
                <w:noProof/>
                <w:webHidden/>
              </w:rPr>
              <w:t>10</w:t>
            </w:r>
            <w:r w:rsidR="00C45200">
              <w:rPr>
                <w:noProof/>
                <w:webHidden/>
              </w:rPr>
              <w:fldChar w:fldCharType="end"/>
            </w:r>
          </w:hyperlink>
        </w:p>
        <w:p w14:paraId="6BA40271" w14:textId="61AC21CA" w:rsidR="00C45200" w:rsidRDefault="001F7998">
          <w:pPr>
            <w:pStyle w:val="TOC1"/>
            <w:rPr>
              <w:rFonts w:asciiTheme="minorHAnsi" w:eastAsiaTheme="minorEastAsia" w:hAnsiTheme="minorHAnsi" w:cstheme="minorBidi"/>
              <w:noProof/>
              <w:szCs w:val="22"/>
              <w:lang w:val="en-GB" w:eastAsia="en-GB"/>
            </w:rPr>
          </w:pPr>
          <w:hyperlink w:anchor="_Toc211698281" w:history="1">
            <w:r w:rsidR="00C45200" w:rsidRPr="00920144">
              <w:rPr>
                <w:rStyle w:val="Hyperlink"/>
                <w:rFonts w:ascii="Bookman Old Style" w:hAnsi="Bookman Old Style"/>
                <w:noProof/>
              </w:rPr>
              <w:t>KM-07-KT01: Delivery models (learnerships, internships, experiential learning, apprenticeships) (30%)</w:t>
            </w:r>
            <w:r w:rsidR="00C45200">
              <w:rPr>
                <w:noProof/>
                <w:webHidden/>
              </w:rPr>
              <w:tab/>
            </w:r>
            <w:r w:rsidR="00C45200">
              <w:rPr>
                <w:noProof/>
                <w:webHidden/>
              </w:rPr>
              <w:fldChar w:fldCharType="begin"/>
            </w:r>
            <w:r w:rsidR="00C45200">
              <w:rPr>
                <w:noProof/>
                <w:webHidden/>
              </w:rPr>
              <w:instrText xml:space="preserve"> PAGEREF _Toc211698281 \h </w:instrText>
            </w:r>
            <w:r w:rsidR="00C45200">
              <w:rPr>
                <w:noProof/>
                <w:webHidden/>
              </w:rPr>
            </w:r>
            <w:r w:rsidR="00C45200">
              <w:rPr>
                <w:noProof/>
                <w:webHidden/>
              </w:rPr>
              <w:fldChar w:fldCharType="separate"/>
            </w:r>
            <w:r w:rsidR="005F62A4">
              <w:rPr>
                <w:noProof/>
                <w:webHidden/>
              </w:rPr>
              <w:t>11</w:t>
            </w:r>
            <w:r w:rsidR="00C45200">
              <w:rPr>
                <w:noProof/>
                <w:webHidden/>
              </w:rPr>
              <w:fldChar w:fldCharType="end"/>
            </w:r>
          </w:hyperlink>
        </w:p>
        <w:p w14:paraId="0DFEA330" w14:textId="1DB0D767" w:rsidR="00C45200" w:rsidRDefault="001F7998">
          <w:pPr>
            <w:pStyle w:val="TOC1"/>
            <w:rPr>
              <w:rFonts w:asciiTheme="minorHAnsi" w:eastAsiaTheme="minorEastAsia" w:hAnsiTheme="minorHAnsi" w:cstheme="minorBidi"/>
              <w:noProof/>
              <w:szCs w:val="22"/>
              <w:lang w:val="en-GB" w:eastAsia="en-GB"/>
            </w:rPr>
          </w:pPr>
          <w:hyperlink w:anchor="_Toc211698282" w:history="1">
            <w:r w:rsidR="00C45200" w:rsidRPr="00920144">
              <w:rPr>
                <w:rStyle w:val="Hyperlink"/>
                <w:rFonts w:ascii="Bookman Old Style" w:hAnsi="Bookman Old Style"/>
                <w:bCs/>
                <w:noProof/>
              </w:rPr>
              <w:t>KM-07-KT02: Planning and scheduling work-based learning (20%)</w:t>
            </w:r>
            <w:r w:rsidR="00C45200">
              <w:rPr>
                <w:noProof/>
                <w:webHidden/>
              </w:rPr>
              <w:tab/>
            </w:r>
            <w:r w:rsidR="00C45200">
              <w:rPr>
                <w:noProof/>
                <w:webHidden/>
              </w:rPr>
              <w:fldChar w:fldCharType="begin"/>
            </w:r>
            <w:r w:rsidR="00C45200">
              <w:rPr>
                <w:noProof/>
                <w:webHidden/>
              </w:rPr>
              <w:instrText xml:space="preserve"> PAGEREF _Toc211698282 \h </w:instrText>
            </w:r>
            <w:r w:rsidR="00C45200">
              <w:rPr>
                <w:noProof/>
                <w:webHidden/>
              </w:rPr>
            </w:r>
            <w:r w:rsidR="00C45200">
              <w:rPr>
                <w:noProof/>
                <w:webHidden/>
              </w:rPr>
              <w:fldChar w:fldCharType="separate"/>
            </w:r>
            <w:r w:rsidR="005F62A4">
              <w:rPr>
                <w:noProof/>
                <w:webHidden/>
              </w:rPr>
              <w:t>21</w:t>
            </w:r>
            <w:r w:rsidR="00C45200">
              <w:rPr>
                <w:noProof/>
                <w:webHidden/>
              </w:rPr>
              <w:fldChar w:fldCharType="end"/>
            </w:r>
          </w:hyperlink>
        </w:p>
        <w:p w14:paraId="7CC71EE8" w14:textId="22E89175" w:rsidR="00C45200" w:rsidRDefault="001F7998">
          <w:pPr>
            <w:pStyle w:val="TOC1"/>
            <w:rPr>
              <w:rFonts w:asciiTheme="minorHAnsi" w:eastAsiaTheme="minorEastAsia" w:hAnsiTheme="minorHAnsi" w:cstheme="minorBidi"/>
              <w:noProof/>
              <w:szCs w:val="22"/>
              <w:lang w:val="en-GB" w:eastAsia="en-GB"/>
            </w:rPr>
          </w:pPr>
          <w:hyperlink w:anchor="_Toc211698283" w:history="1">
            <w:r w:rsidR="00C45200" w:rsidRPr="00920144">
              <w:rPr>
                <w:rStyle w:val="Hyperlink"/>
                <w:rFonts w:ascii="Bookman Old Style" w:hAnsi="Bookman Old Style"/>
                <w:noProof/>
              </w:rPr>
              <w:t>KM-07-KT03: Facilitation of work-based learning (30%)</w:t>
            </w:r>
            <w:r w:rsidR="00C45200">
              <w:rPr>
                <w:noProof/>
                <w:webHidden/>
              </w:rPr>
              <w:tab/>
            </w:r>
            <w:r w:rsidR="00C45200">
              <w:rPr>
                <w:noProof/>
                <w:webHidden/>
              </w:rPr>
              <w:fldChar w:fldCharType="begin"/>
            </w:r>
            <w:r w:rsidR="00C45200">
              <w:rPr>
                <w:noProof/>
                <w:webHidden/>
              </w:rPr>
              <w:instrText xml:space="preserve"> PAGEREF _Toc211698283 \h </w:instrText>
            </w:r>
            <w:r w:rsidR="00C45200">
              <w:rPr>
                <w:noProof/>
                <w:webHidden/>
              </w:rPr>
            </w:r>
            <w:r w:rsidR="00C45200">
              <w:rPr>
                <w:noProof/>
                <w:webHidden/>
              </w:rPr>
              <w:fldChar w:fldCharType="separate"/>
            </w:r>
            <w:r w:rsidR="005F62A4">
              <w:rPr>
                <w:noProof/>
                <w:webHidden/>
              </w:rPr>
              <w:t>29</w:t>
            </w:r>
            <w:r w:rsidR="00C45200">
              <w:rPr>
                <w:noProof/>
                <w:webHidden/>
              </w:rPr>
              <w:fldChar w:fldCharType="end"/>
            </w:r>
          </w:hyperlink>
        </w:p>
        <w:p w14:paraId="7DF9AC81" w14:textId="3BDF39CF" w:rsidR="00C45200" w:rsidRDefault="001F7998">
          <w:pPr>
            <w:pStyle w:val="TOC1"/>
            <w:rPr>
              <w:rFonts w:asciiTheme="minorHAnsi" w:eastAsiaTheme="minorEastAsia" w:hAnsiTheme="minorHAnsi" w:cstheme="minorBidi"/>
              <w:noProof/>
              <w:szCs w:val="22"/>
              <w:lang w:val="en-GB" w:eastAsia="en-GB"/>
            </w:rPr>
          </w:pPr>
          <w:hyperlink w:anchor="_Toc211698284" w:history="1">
            <w:r w:rsidR="00C45200" w:rsidRPr="00920144">
              <w:rPr>
                <w:rStyle w:val="Hyperlink"/>
                <w:rFonts w:ascii="Bookman Old Style" w:hAnsi="Bookman Old Style"/>
                <w:noProof/>
              </w:rPr>
              <w:t>KM-07-KT04: Evaluation of learner progression (20%)</w:t>
            </w:r>
            <w:r w:rsidR="00C45200">
              <w:rPr>
                <w:noProof/>
                <w:webHidden/>
              </w:rPr>
              <w:tab/>
            </w:r>
            <w:r w:rsidR="00C45200">
              <w:rPr>
                <w:noProof/>
                <w:webHidden/>
              </w:rPr>
              <w:fldChar w:fldCharType="begin"/>
            </w:r>
            <w:r w:rsidR="00C45200">
              <w:rPr>
                <w:noProof/>
                <w:webHidden/>
              </w:rPr>
              <w:instrText xml:space="preserve"> PAGEREF _Toc211698284 \h </w:instrText>
            </w:r>
            <w:r w:rsidR="00C45200">
              <w:rPr>
                <w:noProof/>
                <w:webHidden/>
              </w:rPr>
            </w:r>
            <w:r w:rsidR="00C45200">
              <w:rPr>
                <w:noProof/>
                <w:webHidden/>
              </w:rPr>
              <w:fldChar w:fldCharType="separate"/>
            </w:r>
            <w:r w:rsidR="005F62A4">
              <w:rPr>
                <w:noProof/>
                <w:webHidden/>
              </w:rPr>
              <w:t>39</w:t>
            </w:r>
            <w:r w:rsidR="00C45200">
              <w:rPr>
                <w:noProof/>
                <w:webHidden/>
              </w:rPr>
              <w:fldChar w:fldCharType="end"/>
            </w:r>
          </w:hyperlink>
        </w:p>
        <w:p w14:paraId="6E5BC560" w14:textId="2A4C4221" w:rsidR="00C45200" w:rsidRDefault="001F7998">
          <w:pPr>
            <w:pStyle w:val="TOC1"/>
            <w:rPr>
              <w:rFonts w:asciiTheme="minorHAnsi" w:eastAsiaTheme="minorEastAsia" w:hAnsiTheme="minorHAnsi" w:cstheme="minorBidi"/>
              <w:noProof/>
              <w:szCs w:val="22"/>
              <w:lang w:val="en-GB" w:eastAsia="en-GB"/>
            </w:rPr>
          </w:pPr>
          <w:hyperlink w:anchor="_Toc211698285" w:history="1">
            <w:r w:rsidR="00C45200" w:rsidRPr="00920144">
              <w:rPr>
                <w:rStyle w:val="Hyperlink"/>
                <w:rFonts w:ascii="Bookman Old Style" w:hAnsi="Bookman Old Style"/>
                <w:noProof/>
              </w:rPr>
              <w:t>REFERENCES</w:t>
            </w:r>
            <w:r w:rsidR="00C45200">
              <w:rPr>
                <w:noProof/>
                <w:webHidden/>
              </w:rPr>
              <w:tab/>
            </w:r>
            <w:r w:rsidR="00C45200">
              <w:rPr>
                <w:noProof/>
                <w:webHidden/>
              </w:rPr>
              <w:fldChar w:fldCharType="begin"/>
            </w:r>
            <w:r w:rsidR="00C45200">
              <w:rPr>
                <w:noProof/>
                <w:webHidden/>
              </w:rPr>
              <w:instrText xml:space="preserve"> PAGEREF _Toc211698285 \h </w:instrText>
            </w:r>
            <w:r w:rsidR="00C45200">
              <w:rPr>
                <w:noProof/>
                <w:webHidden/>
              </w:rPr>
            </w:r>
            <w:r w:rsidR="00C45200">
              <w:rPr>
                <w:noProof/>
                <w:webHidden/>
              </w:rPr>
              <w:fldChar w:fldCharType="separate"/>
            </w:r>
            <w:r w:rsidR="005F62A4">
              <w:rPr>
                <w:noProof/>
                <w:webHidden/>
              </w:rPr>
              <w:t>48</w:t>
            </w:r>
            <w:r w:rsidR="00C45200">
              <w:rPr>
                <w:noProof/>
                <w:webHidden/>
              </w:rPr>
              <w:fldChar w:fldCharType="end"/>
            </w:r>
          </w:hyperlink>
        </w:p>
        <w:p w14:paraId="161654DB" w14:textId="51AFDF19"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278"/>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A Work Based Learning and Development Practitioner plans for, conducts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279"/>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8A5553">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8A5553">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8A5553">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8A5553">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209E7702"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280"/>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0C58628D" w14:textId="209E7702" w:rsidR="00D34C34" w:rsidRDefault="009656CE" w:rsidP="00D34C34">
      <w:pPr>
        <w:spacing w:line="360" w:lineRule="auto"/>
        <w:rPr>
          <w:rFonts w:ascii="Bookman Old Style" w:hAnsi="Bookman Old Style" w:cs="Segoe UI Light"/>
          <w:sz w:val="24"/>
        </w:rPr>
      </w:pPr>
      <w:r w:rsidRPr="00D34C34">
        <w:rPr>
          <w:rFonts w:ascii="Bookman Old Style" w:hAnsi="Bookman Old Style" w:cs="Segoe UI Light"/>
          <w:sz w:val="24"/>
        </w:rPr>
        <w:t>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w:t>
      </w:r>
    </w:p>
    <w:p w14:paraId="0A248C29" w14:textId="3D325DAD" w:rsidR="00D34C34" w:rsidRPr="00D34C34" w:rsidRDefault="009656CE" w:rsidP="00D34C34">
      <w:pPr>
        <w:pStyle w:val="ListParagraph"/>
        <w:numPr>
          <w:ilvl w:val="0"/>
          <w:numId w:val="30"/>
        </w:numPr>
        <w:spacing w:line="360" w:lineRule="auto"/>
        <w:rPr>
          <w:rFonts w:ascii="Bookman Old Style" w:hAnsi="Bookman Old Style" w:cs="Segoe UI Light"/>
          <w:sz w:val="24"/>
        </w:rPr>
      </w:pPr>
      <w:r w:rsidRPr="00D34C34">
        <w:rPr>
          <w:rFonts w:ascii="Bookman Old Style" w:hAnsi="Bookman Old Style" w:cs="Segoe UI Light"/>
          <w:sz w:val="24"/>
        </w:rPr>
        <w:t xml:space="preserve">Planning of resources and logistics is conducive for efficient and effective learning. </w:t>
      </w:r>
    </w:p>
    <w:p w14:paraId="25E2F1BA" w14:textId="6EAC0061" w:rsidR="00D34C34" w:rsidRPr="00D34C34" w:rsidRDefault="009656CE" w:rsidP="00D34C34">
      <w:pPr>
        <w:pStyle w:val="ListParagraph"/>
        <w:numPr>
          <w:ilvl w:val="0"/>
          <w:numId w:val="30"/>
        </w:numPr>
        <w:spacing w:line="360" w:lineRule="auto"/>
        <w:rPr>
          <w:rFonts w:ascii="Bookman Old Style" w:hAnsi="Bookman Old Style" w:cs="Segoe UI Light"/>
          <w:sz w:val="24"/>
        </w:rPr>
      </w:pPr>
      <w:r w:rsidRPr="00D34C34">
        <w:rPr>
          <w:rFonts w:ascii="Bookman Old Style" w:hAnsi="Bookman Old Style" w:cs="Segoe UI Light"/>
          <w:sz w:val="24"/>
        </w:rPr>
        <w:t>Preparations for the facilitation of learning is aligned to adult learning principles and techniques</w:t>
      </w:r>
    </w:p>
    <w:p w14:paraId="7BCEB82C" w14:textId="64830820" w:rsid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Barriers to learning are dealt with, in the delivery of the learning intervention.</w:t>
      </w:r>
    </w:p>
    <w:p w14:paraId="18DF9C5A" w14:textId="53901C23" w:rsidR="00D34C34" w:rsidRPr="00D34C34" w:rsidRDefault="00D34C34" w:rsidP="00D34C34">
      <w:pPr>
        <w:pStyle w:val="ListParagraph"/>
        <w:numPr>
          <w:ilvl w:val="0"/>
          <w:numId w:val="37"/>
        </w:numPr>
        <w:spacing w:line="360" w:lineRule="auto"/>
        <w:rPr>
          <w:rFonts w:ascii="Bookman Old Style" w:hAnsi="Bookman Old Style" w:cs="Segoe UI Light"/>
          <w:sz w:val="24"/>
        </w:rPr>
      </w:pPr>
      <w:r>
        <w:rPr>
          <w:rFonts w:ascii="Bookman Old Style" w:hAnsi="Bookman Old Style" w:cs="Segoe UI Light"/>
          <w:sz w:val="24"/>
        </w:rPr>
        <w:t xml:space="preserve"> </w:t>
      </w:r>
      <w:r w:rsidR="009656CE" w:rsidRPr="00D34C34">
        <w:rPr>
          <w:rFonts w:ascii="Bookman Old Style" w:hAnsi="Bookman Old Style" w:cs="Segoe UI Light"/>
          <w:sz w:val="24"/>
        </w:rPr>
        <w:t>Past experience and prior learning is recognised during the delivery of the learning intervention.</w:t>
      </w:r>
    </w:p>
    <w:p w14:paraId="453BD5E6" w14:textId="58D52B25" w:rsidR="00D34C34" w:rsidRP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Guidance and support of learners enables them to define outcomes, clarify issues, manage expectations and identify learning paths and opportunities.</w:t>
      </w:r>
    </w:p>
    <w:p w14:paraId="73824A63" w14:textId="31EE64A0" w:rsidR="00D34C34" w:rsidRP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 xml:space="preserve">The facilitation plan and process are adapted to meet contextual and learning dynamics. </w:t>
      </w:r>
    </w:p>
    <w:p w14:paraId="5BDB4E78" w14:textId="1CA1B074" w:rsidR="00D34C34" w:rsidRP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Active learning is facilitated according to contexts and learning styles, by drawing on appropriate learning methodologies.</w:t>
      </w:r>
    </w:p>
    <w:p w14:paraId="2DC27CB8" w14:textId="059D1B84" w:rsidR="00D34C34" w:rsidRP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 xml:space="preserve">Facilitation is conducted in an organised manner that ensures the physical and psycho-social safety of the learners. </w:t>
      </w:r>
    </w:p>
    <w:p w14:paraId="7B57FA35" w14:textId="0C989719" w:rsidR="00D34C34" w:rsidRP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Learner progress and effectiveness of the intervention is measured continuously and feedback is provided.</w:t>
      </w:r>
    </w:p>
    <w:p w14:paraId="5C86B2D2" w14:textId="7F83B94A" w:rsidR="00D34C34" w:rsidRP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The dynamics of the learner group are managed in accordance with contextual requirements.</w:t>
      </w:r>
    </w:p>
    <w:p w14:paraId="740A6994" w14:textId="707D2181" w:rsidR="00D34C34" w:rsidRPr="00D34C34" w:rsidRDefault="009656CE" w:rsidP="00D34C34">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 xml:space="preserve">Stakeholder feedback is reflected upon and is used to inform areas of continuous personal development and improvement. </w:t>
      </w:r>
    </w:p>
    <w:p w14:paraId="055923B7" w14:textId="7B5F275D" w:rsidR="00A00645" w:rsidRPr="00D34C34" w:rsidRDefault="009656CE" w:rsidP="005B1D66">
      <w:pPr>
        <w:pStyle w:val="ListParagraph"/>
        <w:numPr>
          <w:ilvl w:val="0"/>
          <w:numId w:val="37"/>
        </w:numPr>
        <w:spacing w:line="360" w:lineRule="auto"/>
        <w:rPr>
          <w:rFonts w:ascii="Bookman Old Style" w:hAnsi="Bookman Old Style" w:cs="Segoe UI Light"/>
          <w:sz w:val="24"/>
        </w:rPr>
      </w:pPr>
      <w:r w:rsidRPr="00D34C34">
        <w:rPr>
          <w:rFonts w:ascii="Bookman Old Style" w:hAnsi="Bookman Old Style" w:cs="Segoe UI Light"/>
          <w:sz w:val="24"/>
        </w:rPr>
        <w:t>Ethical and professional practice is displayed when organisational procedures are followed.</w:t>
      </w:r>
    </w:p>
    <w:p w14:paraId="565FFB1B" w14:textId="3DADE907" w:rsidR="00170710" w:rsidRPr="005B1D66" w:rsidRDefault="00C45200" w:rsidP="00C45200">
      <w:pPr>
        <w:pStyle w:val="Heading1"/>
        <w:numPr>
          <w:ilvl w:val="0"/>
          <w:numId w:val="0"/>
        </w:numPr>
        <w:spacing w:line="360" w:lineRule="auto"/>
        <w:ind w:left="142"/>
        <w:rPr>
          <w:rFonts w:ascii="Bookman Old Style" w:hAnsi="Bookman Old Style"/>
          <w:sz w:val="24"/>
          <w:szCs w:val="24"/>
        </w:rPr>
      </w:pPr>
      <w:bookmarkStart w:id="11" w:name="_Toc211698281"/>
      <w:r w:rsidRPr="00C45200">
        <w:rPr>
          <w:rFonts w:ascii="Bookman Old Style" w:hAnsi="Bookman Old Style"/>
          <w:sz w:val="24"/>
          <w:szCs w:val="24"/>
        </w:rPr>
        <w:lastRenderedPageBreak/>
        <w:t>KM-07-KT01: Delivery models (</w:t>
      </w:r>
      <w:proofErr w:type="spellStart"/>
      <w:r w:rsidRPr="00C45200">
        <w:rPr>
          <w:rFonts w:ascii="Bookman Old Style" w:hAnsi="Bookman Old Style"/>
          <w:sz w:val="24"/>
          <w:szCs w:val="24"/>
        </w:rPr>
        <w:t>learnerships</w:t>
      </w:r>
      <w:proofErr w:type="spellEnd"/>
      <w:r w:rsidRPr="00C45200">
        <w:rPr>
          <w:rFonts w:ascii="Bookman Old Style" w:hAnsi="Bookman Old Style"/>
          <w:sz w:val="24"/>
          <w:szCs w:val="24"/>
        </w:rPr>
        <w:t xml:space="preserve">, internships, experiential learning, apprenticeships) </w:t>
      </w:r>
      <w:r>
        <w:rPr>
          <w:rFonts w:ascii="Bookman Old Style" w:hAnsi="Bookman Old Style"/>
          <w:sz w:val="24"/>
          <w:szCs w:val="24"/>
        </w:rPr>
        <w:t>(</w:t>
      </w:r>
      <w:r w:rsidRPr="00C45200">
        <w:rPr>
          <w:rFonts w:ascii="Bookman Old Style" w:hAnsi="Bookman Old Style"/>
          <w:sz w:val="24"/>
          <w:szCs w:val="24"/>
        </w:rPr>
        <w:t>30%)</w:t>
      </w:r>
      <w:bookmarkEnd w:id="11"/>
    </w:p>
    <w:p w14:paraId="0C9F977A" w14:textId="77777777" w:rsidR="00C45200" w:rsidRPr="00C45200" w:rsidRDefault="00C45200" w:rsidP="00C45200">
      <w:pPr>
        <w:spacing w:line="360" w:lineRule="auto"/>
        <w:rPr>
          <w:rFonts w:ascii="Bookman Old Style" w:hAnsi="Bookman Old Style" w:cs="Segoe UI Light"/>
          <w:b/>
          <w:bCs/>
          <w:sz w:val="24"/>
        </w:rPr>
      </w:pPr>
      <w:r w:rsidRPr="00C45200">
        <w:rPr>
          <w:rFonts w:ascii="Bookman Old Style" w:hAnsi="Bookman Old Style" w:cs="Segoe UI Light"/>
          <w:b/>
          <w:bCs/>
          <w:sz w:val="24"/>
        </w:rPr>
        <w:t xml:space="preserve">Topic elements to be covered include: </w:t>
      </w:r>
    </w:p>
    <w:p w14:paraId="6182E482" w14:textId="6CFB8039" w:rsidR="00C45200" w:rsidRPr="00C45200" w:rsidRDefault="00C45200" w:rsidP="008A5553">
      <w:pPr>
        <w:pStyle w:val="ListParagraph"/>
        <w:numPr>
          <w:ilvl w:val="0"/>
          <w:numId w:val="30"/>
        </w:numPr>
        <w:spacing w:line="360" w:lineRule="auto"/>
        <w:rPr>
          <w:rFonts w:ascii="Bookman Old Style" w:hAnsi="Bookman Old Style" w:cs="Segoe UI Light"/>
          <w:sz w:val="24"/>
        </w:rPr>
      </w:pPr>
      <w:r w:rsidRPr="00C45200">
        <w:rPr>
          <w:rFonts w:ascii="Bookman Old Style" w:hAnsi="Bookman Old Style" w:cs="Segoe UI Light"/>
          <w:sz w:val="24"/>
        </w:rPr>
        <w:t xml:space="preserve">KT0101 National trends in work-based learning </w:t>
      </w:r>
    </w:p>
    <w:p w14:paraId="75852A1D" w14:textId="1DB53C72" w:rsidR="00C45200" w:rsidRPr="00C45200" w:rsidRDefault="00C45200" w:rsidP="008A5553">
      <w:pPr>
        <w:pStyle w:val="ListParagraph"/>
        <w:numPr>
          <w:ilvl w:val="0"/>
          <w:numId w:val="30"/>
        </w:numPr>
        <w:spacing w:line="360" w:lineRule="auto"/>
        <w:rPr>
          <w:rFonts w:ascii="Bookman Old Style" w:hAnsi="Bookman Old Style" w:cs="Segoe UI Light"/>
          <w:sz w:val="24"/>
        </w:rPr>
      </w:pPr>
      <w:r w:rsidRPr="00C45200">
        <w:rPr>
          <w:rFonts w:ascii="Bookman Old Style" w:hAnsi="Bookman Old Style" w:cs="Segoe UI Light"/>
          <w:sz w:val="24"/>
        </w:rPr>
        <w:t xml:space="preserve">KT0102 Concepts that define delivery models </w:t>
      </w:r>
    </w:p>
    <w:p w14:paraId="10AD810A" w14:textId="0616DD04" w:rsidR="00C45200" w:rsidRDefault="00C45200" w:rsidP="008A5553">
      <w:pPr>
        <w:pStyle w:val="ListParagraph"/>
        <w:numPr>
          <w:ilvl w:val="0"/>
          <w:numId w:val="30"/>
        </w:numPr>
        <w:spacing w:line="360" w:lineRule="auto"/>
        <w:rPr>
          <w:rFonts w:ascii="Bookman Old Style" w:hAnsi="Bookman Old Style" w:cs="Segoe UI Light"/>
          <w:sz w:val="24"/>
        </w:rPr>
      </w:pPr>
      <w:r w:rsidRPr="00C45200">
        <w:rPr>
          <w:rFonts w:ascii="Bookman Old Style" w:hAnsi="Bookman Old Style" w:cs="Segoe UI Light"/>
          <w:sz w:val="24"/>
        </w:rPr>
        <w:t xml:space="preserve">KT0103 Roles and responsibilities in a work-based learning environment </w:t>
      </w:r>
    </w:p>
    <w:p w14:paraId="362992A2" w14:textId="281555F9" w:rsidR="00CD0FBA" w:rsidRDefault="00CD0FBA" w:rsidP="00CD0FBA">
      <w:pPr>
        <w:spacing w:line="360" w:lineRule="auto"/>
        <w:rPr>
          <w:rFonts w:ascii="Bookman Old Style" w:hAnsi="Bookman Old Style" w:cs="Segoe UI Light"/>
          <w:sz w:val="24"/>
        </w:rPr>
      </w:pPr>
    </w:p>
    <w:p w14:paraId="588B4768" w14:textId="545288A6" w:rsidR="00CD0FBA" w:rsidRPr="00CD0FBA" w:rsidRDefault="00CD0FBA" w:rsidP="00CD0FBA">
      <w:pPr>
        <w:spacing w:line="360" w:lineRule="auto"/>
        <w:rPr>
          <w:rFonts w:ascii="Bookman Old Style" w:hAnsi="Bookman Old Style" w:cs="Segoe UI Light"/>
          <w:b/>
          <w:bCs/>
          <w:sz w:val="24"/>
          <w:u w:val="single"/>
        </w:rPr>
      </w:pPr>
      <w:r w:rsidRPr="00CD0FBA">
        <w:rPr>
          <w:rFonts w:ascii="Bookman Old Style" w:hAnsi="Bookman Old Style" w:cs="Segoe UI Light"/>
          <w:b/>
          <w:bCs/>
          <w:sz w:val="24"/>
          <w:u w:val="single"/>
        </w:rPr>
        <w:t xml:space="preserve">KT0101 National trends in work-based learning </w:t>
      </w:r>
    </w:p>
    <w:p w14:paraId="7AA33C15" w14:textId="4A76CD6D" w:rsidR="00CD0FBA" w:rsidRPr="00CD0FBA" w:rsidRDefault="00CD0FBA" w:rsidP="00CD0FBA">
      <w:pPr>
        <w:spacing w:line="360" w:lineRule="auto"/>
        <w:rPr>
          <w:rFonts w:ascii="Bookman Old Style" w:hAnsi="Bookman Old Style" w:cs="Segoe UI Light"/>
          <w:sz w:val="24"/>
        </w:rPr>
      </w:pPr>
      <w:r w:rsidRPr="00CD0FBA">
        <w:rPr>
          <w:rFonts w:ascii="Bookman Old Style" w:hAnsi="Bookman Old Style" w:cs="Segoe UI Light"/>
          <w:sz w:val="24"/>
        </w:rPr>
        <w:t>Work-based learning (WBL) in South Africa is a critical component of skills development, aiming to bridge the gap between education and industry needs. The national trends indicate a strong emphasis on various delivery models, including learnerships, internships, experiential learning, and apprenticeships, all designed to enhance employability and address skills shortages. The government, through its National Skills Development Plan (NSDP) and Sector Education and Training Authorities (SETAs), plays a pivotal role in promoting and funding these initiatives. The overarching goal is to foster a skilled workforce that can contribute to economic growth and reduce unemployment, particularly among youth.</w:t>
      </w:r>
      <w:r w:rsidRPr="00CD0FBA">
        <w:rPr>
          <w:rFonts w:ascii="Bookman Old Style" w:hAnsi="Bookman Old Style" w:cs="Segoe UI Light"/>
          <w:sz w:val="24"/>
          <w:lang w:val="en-GB"/>
        </w:rPr>
        <w:t>National trends in work-based learning in South Africa show a continued focus on expanding and refining delivery models such as learnerships, internships, experiential learning, and apprenticeships, driven by government policy and industry demand to address skills gaps and youth unemployment.</w:t>
      </w:r>
    </w:p>
    <w:p w14:paraId="6344F0DB"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Learnerships</w:t>
      </w:r>
    </w:p>
    <w:p w14:paraId="66D8EBE1" w14:textId="219306D4"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Learnerships remain a cornerstone of WBL in South Africa. These structured learning programmes combine theoretical training with practical work experience, leading to a nationally recognized qualification. The trend indicates a push for more relevant learnerships that align with critical skills identified by various sectors. For instance, the National Skills Development Plan 2030 (NSDP 2030) emphasizes the need for learnerships to be responsive to the changing demands of the economy, </w:t>
      </w:r>
      <w:r w:rsidRPr="00CD0FBA">
        <w:rPr>
          <w:rFonts w:ascii="Bookman Old Style" w:hAnsi="Bookman Old Style" w:cs="Segoe UI Light"/>
          <w:sz w:val="24"/>
          <w:lang w:val="en-GB"/>
        </w:rPr>
        <w:lastRenderedPageBreak/>
        <w:t>particularly in areas like digital skills, renewable energy, and advanced manufacturing. There's also a growing focus on improving the quality and completion rates of learnerships, as well as ensuring better post-learnership employment outcomes. SETAs are instrumental in facilitating these programmes, with a continuous effort to streamline administrative processes and enhance monitoring and evaluation mechanisms.</w:t>
      </w:r>
    </w:p>
    <w:p w14:paraId="2ADE0D47"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Internships</w:t>
      </w:r>
    </w:p>
    <w:p w14:paraId="23B01DE8" w14:textId="07D67C9A"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Internships are increasingly recognized as vital for providing graduates with practical work experience, often a prerequisite for entry-level positions. The trend shows an increase in the number of internship opportunities, particularly for university and TVET college graduates. Government initiatives, such as the Presidential Youth Employment Initiative (PYEI), have significantly boosted internship placements, especially in the public sector, aiming to provide young people with their first work experience. Private sector involvement in internships is also growing, often driven by corporate social responsibility and the need to identify and nurture future talent. The focus is on ensuring that internships offer meaningful work experience rather than just administrative tasks, thereby enhancing the interns' skills and employability.</w:t>
      </w:r>
    </w:p>
    <w:p w14:paraId="36782134"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Experiential Learning</w:t>
      </w:r>
    </w:p>
    <w:p w14:paraId="399E8C27" w14:textId="7FA601CE"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Experiential learning, encompassing a broader range of practical experiences, is gaining traction as an effective WBL approach. This includes practical components embedded within academic curricula, work integrated learning (WIL) programmes, and short-term practical placements. The trend highlights a move towards integrating more hands-on experience across all levels of education and training. For example, TVET colleges are increasingly incorporating practical components and industry exposure into their programmes to better prepare students for the world of work. Universities are also strengthening their WIL programmes, often in collaboration with industry partners, to ensure graduates possess the practical skills demanded by employers. The emphasis is on learning by doing, allowing individuals to apply theoretical knowledge in real-world contexts.</w:t>
      </w:r>
    </w:p>
    <w:p w14:paraId="127379DB"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lastRenderedPageBreak/>
        <w:t>Apprenticeships</w:t>
      </w:r>
    </w:p>
    <w:p w14:paraId="7316772F" w14:textId="70DAA79C"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Apprenticeships, particularly in traditional trades and emerging technical fields, are experiencing a resurgence in South Africa. The national trend indicates a renewed commitment to strengthening the apprenticeship system, drawing lessons from international best practices. The National Artisan Development Programme (NADP) is a key driver in this regard, aiming to produce a sufficient number of qualified artisans to meet industrial demands. There's a push to modernize apprenticeship frameworks, making them more flexible and responsive to technological advancements. This includes incorporating digital skills and green technologies into traditional trades. Efforts are also underway to improve the quality of training, mentorship, and assessment within apprenticeship programmes, ensuring that apprentices acquire relevant and high-demand skills.</w:t>
      </w:r>
    </w:p>
    <w:p w14:paraId="3FE741DB"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Policy and Regulatory Framework</w:t>
      </w:r>
    </w:p>
    <w:p w14:paraId="25D64B19" w14:textId="37F9450C"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The national trends in WBL are heavily influenced by the evolving policy and regulatory framework. The National Skills Development Plan 2030 (NSDP 2030) serves as the overarching strategy, guiding investments and initiatives in skills development. This plan emphasizes collaboration between government, industry, and educational institutions to create a more responsive and effective WBL ecosystem. The Skills Development Act and the National Qualifications Framework (NQF) provide the legal and structural basis for WBL programmes, ensuring quality assurance and recognition of qualifications. Recent amendments and ongoing reviews of these frameworks aim to further streamline processes, enhance accountability, and promote greater participation in WBL initiatives across all sectors</w:t>
      </w:r>
    </w:p>
    <w:p w14:paraId="6DD56195" w14:textId="77777777" w:rsidR="00CD0FBA" w:rsidRPr="00CD0FBA" w:rsidRDefault="00CD0FBA" w:rsidP="00CD0FBA">
      <w:pPr>
        <w:spacing w:line="360" w:lineRule="auto"/>
        <w:rPr>
          <w:rFonts w:ascii="Bookman Old Style" w:hAnsi="Bookman Old Style" w:cs="Segoe UI Light"/>
          <w:b/>
          <w:bCs/>
          <w:i/>
          <w:iCs/>
          <w:sz w:val="24"/>
        </w:rPr>
      </w:pPr>
      <w:r w:rsidRPr="00CD0FBA">
        <w:rPr>
          <w:rFonts w:ascii="Bookman Old Style" w:hAnsi="Bookman Old Style" w:cs="Segoe UI Light"/>
          <w:b/>
          <w:bCs/>
          <w:i/>
          <w:iCs/>
          <w:sz w:val="24"/>
        </w:rPr>
        <w:t xml:space="preserve">Work based learning and development concepts and practices are explained within the occupationally directed environment </w:t>
      </w:r>
    </w:p>
    <w:p w14:paraId="13B08D80" w14:textId="0586198D" w:rsidR="00CD0FBA" w:rsidRDefault="00CD0FBA" w:rsidP="00CD0FBA">
      <w:pPr>
        <w:spacing w:line="360" w:lineRule="auto"/>
        <w:rPr>
          <w:rFonts w:ascii="Bookman Old Style" w:hAnsi="Bookman Old Style" w:cs="Segoe UI Light"/>
          <w:sz w:val="24"/>
        </w:rPr>
      </w:pPr>
      <w:r w:rsidRPr="00CD0FBA">
        <w:rPr>
          <w:rFonts w:ascii="Bookman Old Style" w:hAnsi="Bookman Old Style" w:cs="Segoe UI Light"/>
          <w:sz w:val="24"/>
        </w:rPr>
        <w:t xml:space="preserve">Work-based learning (WBL) and development in South Africa, particularly within an occupationally directed environment, encompasses various delivery models designed to bridge the gap between education and the demands of the workplace. These models are crucial for developing a skilled workforce and addressing </w:t>
      </w:r>
      <w:r w:rsidRPr="00CD0FBA">
        <w:rPr>
          <w:rFonts w:ascii="Bookman Old Style" w:hAnsi="Bookman Old Style" w:cs="Segoe UI Light"/>
          <w:sz w:val="24"/>
        </w:rPr>
        <w:lastRenderedPageBreak/>
        <w:t>unemployment challenges in the country. The primary delivery models include learnerships, internships, experiential learning, and apprenticeships, each with distinct characteristics and objectives</w:t>
      </w:r>
    </w:p>
    <w:p w14:paraId="6FFEA0BB" w14:textId="2ACAFCD7"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b/>
          <w:bCs/>
          <w:sz w:val="24"/>
          <w:lang w:val="en-GB"/>
        </w:rPr>
        <w:t>Learnerships</w:t>
      </w:r>
      <w:r w:rsidRPr="00CD0FBA">
        <w:rPr>
          <w:rFonts w:ascii="Bookman Old Style" w:hAnsi="Bookman Old Style" w:cs="Segoe UI Light"/>
          <w:sz w:val="24"/>
          <w:lang w:val="en-GB"/>
        </w:rPr>
        <w:t> are structured learning programs that combine theoretical training with practical work experience, leading to a nationally recognized qualification. They are governed by the Skills Development Act of 1998 and are often linked to Sector Education and Training Authorities (SETAs) which oversee skills development in specific economic sectors. Learnerships typically involve a contract between the learner, employer, and training provider, outlining the duration, learning outcomes, and responsibilities of each party. </w:t>
      </w:r>
      <w:r w:rsidRPr="00CD0FBA">
        <w:rPr>
          <w:rFonts w:ascii="Bookman Old Style" w:hAnsi="Bookman Old Style" w:cs="Segoe UI Light"/>
          <w:b/>
          <w:bCs/>
          <w:sz w:val="24"/>
          <w:lang w:val="en-GB"/>
        </w:rPr>
        <w:t>Internships</w:t>
      </w:r>
      <w:r w:rsidRPr="00CD0FBA">
        <w:rPr>
          <w:rFonts w:ascii="Bookman Old Style" w:hAnsi="Bookman Old Style" w:cs="Segoe UI Light"/>
          <w:sz w:val="24"/>
          <w:lang w:val="en-GB"/>
        </w:rPr>
        <w:t> are generally shorter-term placements designed to provide practical experience in a specific field, often for graduates or students seeking to apply their academic knowledge in a professional setting. While internships may not always lead to a formal qualification, they are vital for career entry and networking. </w:t>
      </w:r>
      <w:r w:rsidRPr="00CD0FBA">
        <w:rPr>
          <w:rFonts w:ascii="Bookman Old Style" w:hAnsi="Bookman Old Style" w:cs="Segoe UI Light"/>
          <w:b/>
          <w:bCs/>
          <w:sz w:val="24"/>
          <w:lang w:val="en-GB"/>
        </w:rPr>
        <w:t>Experiential learning</w:t>
      </w:r>
      <w:r w:rsidRPr="00CD0FBA">
        <w:rPr>
          <w:rFonts w:ascii="Bookman Old Style" w:hAnsi="Bookman Old Style" w:cs="Segoe UI Light"/>
          <w:sz w:val="24"/>
          <w:lang w:val="en-GB"/>
        </w:rPr>
        <w:t> is a broader concept that encompasses learning through direct experience and reflection, often integrated into academic programs or professional development initiatives. It emphasizes hands-on engagement and problem-solving in real-world contexts. </w:t>
      </w:r>
      <w:r w:rsidRPr="00CD0FBA">
        <w:rPr>
          <w:rFonts w:ascii="Bookman Old Style" w:hAnsi="Bookman Old Style" w:cs="Segoe UI Light"/>
          <w:b/>
          <w:bCs/>
          <w:sz w:val="24"/>
          <w:lang w:val="en-GB"/>
        </w:rPr>
        <w:t>Apprenticeships</w:t>
      </w:r>
      <w:r w:rsidRPr="00CD0FBA">
        <w:rPr>
          <w:rFonts w:ascii="Bookman Old Style" w:hAnsi="Bookman Old Style" w:cs="Segoe UI Light"/>
          <w:sz w:val="24"/>
          <w:lang w:val="en-GB"/>
        </w:rPr>
        <w:t> are a traditional form of WBL, particularly prevalent in trades and technical fields, where a learner (apprentice) gains skills and knowledge under the guidance of an experienced artisan or mentor over an extended period, culminating in a recognized trade qualification. In South Africa, apprenticeships are also regulated by the Skills Development Act and are crucial for developing skilled artisans. These WBL models are integral to South Africa's National Skills Development Plan (NSDP) and are aimed at improving employability, addressing skills shortages, and promoting economic growth. They facilitate the transfer of practical skills, foster professional attitudes, and provide learners with valuable industry exposure, making them more competitive in the job market.</w:t>
      </w:r>
    </w:p>
    <w:p w14:paraId="69D6AC7C" w14:textId="6BA41059" w:rsidR="00CD0FBA" w:rsidRDefault="00CD0FBA" w:rsidP="00CD0FBA">
      <w:pPr>
        <w:spacing w:line="360" w:lineRule="auto"/>
        <w:rPr>
          <w:rFonts w:ascii="Bookman Old Style" w:hAnsi="Bookman Old Style" w:cs="Segoe UI Light"/>
          <w:sz w:val="24"/>
        </w:rPr>
      </w:pPr>
    </w:p>
    <w:p w14:paraId="1014177A" w14:textId="48528E0F" w:rsidR="00CD0FBA" w:rsidRDefault="00CD0FBA" w:rsidP="00CD0FBA">
      <w:pPr>
        <w:spacing w:line="360" w:lineRule="auto"/>
        <w:rPr>
          <w:rFonts w:ascii="Bookman Old Style" w:hAnsi="Bookman Old Style" w:cs="Segoe UI Light"/>
          <w:sz w:val="24"/>
        </w:rPr>
      </w:pPr>
    </w:p>
    <w:p w14:paraId="2220BA01" w14:textId="77777777" w:rsidR="00CD0FBA" w:rsidRPr="00CD0FBA" w:rsidRDefault="00CD0FBA" w:rsidP="00CD0FBA">
      <w:pPr>
        <w:spacing w:line="360" w:lineRule="auto"/>
        <w:rPr>
          <w:rFonts w:ascii="Bookman Old Style" w:hAnsi="Bookman Old Style" w:cs="Segoe UI Light"/>
          <w:sz w:val="24"/>
        </w:rPr>
      </w:pPr>
    </w:p>
    <w:p w14:paraId="723F40D6" w14:textId="5C8C890F" w:rsidR="00CD0FBA" w:rsidRPr="00CD0FBA" w:rsidRDefault="00CD0FBA" w:rsidP="00CD0FBA">
      <w:pPr>
        <w:spacing w:line="360" w:lineRule="auto"/>
        <w:rPr>
          <w:rFonts w:ascii="Bookman Old Style" w:hAnsi="Bookman Old Style" w:cs="Segoe UI Light"/>
          <w:b/>
          <w:bCs/>
          <w:sz w:val="24"/>
          <w:u w:val="single"/>
        </w:rPr>
      </w:pPr>
      <w:r w:rsidRPr="00CD0FBA">
        <w:rPr>
          <w:rFonts w:ascii="Bookman Old Style" w:hAnsi="Bookman Old Style" w:cs="Segoe UI Light"/>
          <w:b/>
          <w:bCs/>
          <w:sz w:val="24"/>
          <w:u w:val="single"/>
        </w:rPr>
        <w:lastRenderedPageBreak/>
        <w:t xml:space="preserve">KT0102 Concepts that define delivery models </w:t>
      </w:r>
    </w:p>
    <w:p w14:paraId="1672F658" w14:textId="0DBDB56E" w:rsidR="00CD0FBA" w:rsidRPr="00CD0FBA" w:rsidRDefault="00CD0FBA" w:rsidP="00CD0FBA">
      <w:pPr>
        <w:spacing w:line="360" w:lineRule="auto"/>
        <w:rPr>
          <w:rFonts w:ascii="Bookman Old Style" w:hAnsi="Bookman Old Style" w:cs="Segoe UI Light"/>
          <w:sz w:val="24"/>
        </w:rPr>
      </w:pPr>
      <w:r w:rsidRPr="00CD0FBA">
        <w:rPr>
          <w:rFonts w:ascii="Bookman Old Style" w:hAnsi="Bookman Old Style" w:cs="Segoe UI Light"/>
          <w:sz w:val="24"/>
        </w:rPr>
        <w:t>Work-based learning (WBL) in South Africa encompasses various delivery models designed to bridge the gap between education and employment, fostering practical skills and industry relevance. These models are crucial for addressing youth unemployment and skills shortages within the country. The core concepts defining these delivery models revolve around structured learning within a real work environment, often combining theoretical instruction with practical application. Key elements include formal agreements between learners, employers, and training providers; defined learning outcomes; mentorship and supervision; and assessment of competence. The specific characteristics of each model, such as duration, funding mechanisms, and qualification outcomes, differentiate them while all aiming to enhance employability and productivity.</w:t>
      </w:r>
    </w:p>
    <w:p w14:paraId="329D51B2" w14:textId="77777777"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The delivery models in work-based learning in South Africa, including learnerships, internships, experiential learning, and apprenticeships, are defined by several key concepts:</w:t>
      </w:r>
    </w:p>
    <w:p w14:paraId="5853F467"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1. Structured Learning and Development</w:t>
      </w:r>
    </w:p>
    <w:p w14:paraId="27D3EBFC" w14:textId="6CE67FF5"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All WBL models emphasize a structured approach to learning, ensuring that participants acquire specific skills and knowledge relevant to an occupation or industry. This involves a planned curriculum, learning objectives, and often a formal qualification upon completion. The learning process is not ad-hoc but follows a defined framework, often regulated by Sector Education and Training Authorities (SETAs) in South Africa. </w:t>
      </w:r>
    </w:p>
    <w:p w14:paraId="0810F0DA"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2. Integration of Theory and Practice</w:t>
      </w:r>
    </w:p>
    <w:p w14:paraId="1C011A72" w14:textId="27E2950E"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A fundamental concept across these models is the seamless integration of theoretical knowledge acquired in an educational setting with practical application in a workplace environment. Learners spend a significant portion of their time gaining hands-on experience, applying what they've learned in real-world scenarios. This dual approach ensures that graduates are not only academically proficient but also practically competent. </w:t>
      </w:r>
      <w:r>
        <w:rPr>
          <w:rFonts w:ascii="Bookman Old Style" w:hAnsi="Bookman Old Style" w:cs="Segoe UI Light"/>
          <w:sz w:val="24"/>
          <w:lang w:val="en-GB"/>
        </w:rPr>
        <w:t xml:space="preserve"> </w:t>
      </w:r>
      <w:r w:rsidRPr="00CD0FBA">
        <w:rPr>
          <w:rFonts w:ascii="Bookman Old Style" w:hAnsi="Bookman Old Style" w:cs="Segoe UI Light"/>
          <w:sz w:val="24"/>
          <w:lang w:val="en-GB"/>
        </w:rPr>
        <w:t xml:space="preserve">Work-based learning (WBL) in South Africa encompasses various delivery models designed to bridge the gap between </w:t>
      </w:r>
      <w:r w:rsidRPr="00CD0FBA">
        <w:rPr>
          <w:rFonts w:ascii="Bookman Old Style" w:hAnsi="Bookman Old Style" w:cs="Segoe UI Light"/>
          <w:sz w:val="24"/>
          <w:lang w:val="en-GB"/>
        </w:rPr>
        <w:lastRenderedPageBreak/>
        <w:t>education and employment, fostering practical skills and industry relevance. These models are crucial for addressing youth unemployment and skills shortages in the country. The core concepts defining these delivery models revolve around structured learning experiences within a workplace environment, combining theoretical knowledge with practical application.</w:t>
      </w:r>
    </w:p>
    <w:p w14:paraId="46C10555"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Integration of Theory and Practice</w:t>
      </w:r>
    </w:p>
    <w:p w14:paraId="75F666BE" w14:textId="46D98DC1"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A fundamental concept across all WBL models is the seamless integration of theoretical knowledge acquired in an educational setting with practical application in a real-world work environment. This ensures that learners not only understand concepts but can also effectively apply them to solve workplace problems. For example, a learnership in engineering would involve classroom instruction on engineering principles followed by hands-on experience in a manufacturing plant. </w:t>
      </w:r>
    </w:p>
    <w:p w14:paraId="08D07133"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Structured Learning Pathway</w:t>
      </w:r>
    </w:p>
    <w:p w14:paraId="3F9373D7" w14:textId="112BC9CD"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Each delivery model provides a structured learning pathway with defined outcomes, curricula, and assessment methods. This structure ensures that learning is progressive, relevant to industry needs, and leads to a recognized qualification or certification. Learnerships, for instance, are based on registered qualifications and unit standards, ensuring a standardized approach to skill development. </w:t>
      </w:r>
    </w:p>
    <w:p w14:paraId="16CFCF6E"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Workplace Exposure and Mentorship</w:t>
      </w:r>
    </w:p>
    <w:p w14:paraId="3D557E03" w14:textId="76E53816"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A critical element is meaningful workplace exposure, where learners are immersed in the daily operations of an organization. This exposure is often complemented by mentorship from experienced professionals within the workplace, who guide learners, provide feedback, and facilitate their professional development. Apprenticeships, in particular, heavily rely on the master-journeyman mentorship model. </w:t>
      </w:r>
    </w:p>
    <w:p w14:paraId="13D004C5"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Formal Agreements and Stakeholder Collaboration</w:t>
      </w:r>
    </w:p>
    <w:p w14:paraId="2E53BE94" w14:textId="1F87312A"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WBL models are typically underpinned by formal agreements between the learner, the employer, and often an education or training provider.</w:t>
      </w:r>
      <w:hyperlink r:id="rId9" w:anchor="fn:9" w:tooltip="see footnote" w:history="1">
        <w:r w:rsidRPr="00CD0FBA">
          <w:rPr>
            <w:rStyle w:val="Hyperlink"/>
            <w:rFonts w:ascii="Bookman Old Style" w:hAnsi="Bookman Old Style" w:cs="Segoe UI Light"/>
            <w:sz w:val="24"/>
            <w:vertAlign w:val="superscript"/>
            <w:lang w:val="en-GB"/>
          </w:rPr>
          <w:t>[9]</w:t>
        </w:r>
      </w:hyperlink>
      <w:r w:rsidRPr="00CD0FBA">
        <w:rPr>
          <w:rFonts w:ascii="Bookman Old Style" w:hAnsi="Bookman Old Style" w:cs="Segoe UI Light"/>
          <w:sz w:val="24"/>
          <w:lang w:val="en-GB"/>
        </w:rPr>
        <w:t xml:space="preserve"> This collaboration among stakeholders – government, industry, and educational institutions – is </w:t>
      </w:r>
      <w:r w:rsidRPr="00CD0FBA">
        <w:rPr>
          <w:rFonts w:ascii="Bookman Old Style" w:hAnsi="Bookman Old Style" w:cs="Segoe UI Light"/>
          <w:sz w:val="24"/>
          <w:lang w:val="en-GB"/>
        </w:rPr>
        <w:lastRenderedPageBreak/>
        <w:t xml:space="preserve">essential for the successful implementation and sustainability of these programs. Sector Education and Training Authorities (SETAs) play a pivotal role in facilitating these partnerships and funding WBL initiatives in South Africa. </w:t>
      </w:r>
    </w:p>
    <w:p w14:paraId="5DC2F267"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Skills Development and Employability</w:t>
      </w:r>
    </w:p>
    <w:p w14:paraId="1ADA53EE" w14:textId="0D5F89BA"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The overarching goal of these delivery models is to enhance the skills profile of the workforce and improve the employability of individuals, particularly youth. By providing practical, industry-specific skills, WBL aims to reduce the mismatch between the skills demanded by employers and those possessed by job seekers. Experiential learning, for example, focuses on developing practical competencies directly relevant to specific job roles. </w:t>
      </w:r>
    </w:p>
    <w:p w14:paraId="44D28443"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Assessment and Certification</w:t>
      </w:r>
    </w:p>
    <w:p w14:paraId="5B28DE06" w14:textId="5FAC2468"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All WBL models incorporate robust assessment mechanisms to evaluate the learner's acquisition of both theoretical knowledge and practical skills. Successful completion typically leads to a recognized qualification, certificate, or statement of competence, which enhances the learner's credentials and marketability. For instance, upon successful completion of an apprenticeship, an individual receives a trade certificate. </w:t>
      </w:r>
    </w:p>
    <w:p w14:paraId="49DA644C"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Financial Support and Incentives</w:t>
      </w:r>
    </w:p>
    <w:p w14:paraId="5A468276" w14:textId="077A0A47"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Many WBL programs in South Africa are supported by financial incentives for both learners (stipends) and employers (tax breaks, grants). These incentives are designed to encourage participation and make WBL more accessible and attractive. SETAs often provide grants to employers who offer learnerships and apprenticeships. </w:t>
      </w:r>
    </w:p>
    <w:p w14:paraId="5E07D450"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Contextual Relevance</w:t>
      </w:r>
    </w:p>
    <w:p w14:paraId="6D68ED08" w14:textId="7B9BA273"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The content and structure of these delivery models are designed to be contextually relevant to the specific industry, sector, and economic needs of South Africa. This ensures that the skills developed are directly applicable to the local job market and contribute to national development goals.</w:t>
      </w:r>
    </w:p>
    <w:p w14:paraId="55A27DE1" w14:textId="55C3F422" w:rsidR="00CD0FBA" w:rsidRPr="00CD0FBA" w:rsidRDefault="00CD0FBA" w:rsidP="00CD0FBA">
      <w:pPr>
        <w:spacing w:line="360" w:lineRule="auto"/>
        <w:rPr>
          <w:rFonts w:ascii="Bookman Old Style" w:hAnsi="Bookman Old Style" w:cs="Segoe UI Light"/>
          <w:sz w:val="24"/>
        </w:rPr>
      </w:pPr>
    </w:p>
    <w:p w14:paraId="59799C8F" w14:textId="77777777" w:rsidR="00CD0FBA" w:rsidRPr="00CD0FBA" w:rsidRDefault="00CD0FBA" w:rsidP="00CD0FBA">
      <w:pPr>
        <w:spacing w:line="360" w:lineRule="auto"/>
        <w:rPr>
          <w:rFonts w:ascii="Bookman Old Style" w:hAnsi="Bookman Old Style" w:cs="Segoe UI Light"/>
          <w:b/>
          <w:bCs/>
          <w:sz w:val="24"/>
        </w:rPr>
      </w:pPr>
    </w:p>
    <w:p w14:paraId="558FEA8D" w14:textId="4E95650D" w:rsidR="00CD0FBA" w:rsidRPr="00CD0FBA" w:rsidRDefault="00CD0FBA" w:rsidP="00CD0FBA">
      <w:pPr>
        <w:spacing w:line="360" w:lineRule="auto"/>
        <w:rPr>
          <w:rFonts w:ascii="Bookman Old Style" w:hAnsi="Bookman Old Style" w:cs="Segoe UI Light"/>
          <w:b/>
          <w:bCs/>
          <w:sz w:val="24"/>
          <w:u w:val="single"/>
        </w:rPr>
      </w:pPr>
      <w:r w:rsidRPr="00CD0FBA">
        <w:rPr>
          <w:rFonts w:ascii="Bookman Old Style" w:hAnsi="Bookman Old Style" w:cs="Segoe UI Light"/>
          <w:b/>
          <w:bCs/>
          <w:sz w:val="24"/>
          <w:u w:val="single"/>
        </w:rPr>
        <w:lastRenderedPageBreak/>
        <w:t>KT0103 Roles and responsibilities in a work-based learning environment</w:t>
      </w:r>
    </w:p>
    <w:p w14:paraId="4E03797B" w14:textId="1C128843" w:rsidR="00CD0FBA" w:rsidRDefault="00CD0FBA" w:rsidP="00CD0FBA">
      <w:pPr>
        <w:spacing w:line="360" w:lineRule="auto"/>
        <w:rPr>
          <w:rFonts w:ascii="Bookman Old Style" w:hAnsi="Bookman Old Style" w:cs="Segoe UI Light"/>
          <w:sz w:val="24"/>
        </w:rPr>
      </w:pPr>
      <w:r w:rsidRPr="00CD0FBA">
        <w:rPr>
          <w:rFonts w:ascii="Bookman Old Style" w:hAnsi="Bookman Old Style" w:cs="Segoe UI Light"/>
          <w:sz w:val="24"/>
        </w:rPr>
        <w:t>Work-based learning (WBL) in South Africa encompasses various delivery models, each with distinct roles and responsibilities for stakeholders, aiming to bridge the gap between education and employment. These models, including learnerships, internships, experiential learning, and apprenticeships, are crucial for developing a skilled workforce and addressing youth unemployment . The overarching goal is to provide practical experience, enhance employability, and align skills with industry needs</w:t>
      </w:r>
      <w:r>
        <w:rPr>
          <w:rFonts w:ascii="Bookman Old Style" w:hAnsi="Bookman Old Style" w:cs="Segoe UI Light"/>
          <w:sz w:val="24"/>
        </w:rPr>
        <w:t>.</w:t>
      </w:r>
    </w:p>
    <w:p w14:paraId="54E68468"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Learnerships</w:t>
      </w:r>
    </w:p>
    <w:p w14:paraId="3F9519B7" w14:textId="500AE4B6"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Learnerships are structured learning programs that combine theoretical training with practical work experience, leading to a nationally recognized qualification . Learner: The learner's primary responsibility is to actively participate in both the theoretical and practical components of the learnership. This includes attending all training sessions, completing assignments, demonstrating commitment to learning, adhering to workplace policies, and striving to achieve the qualification . Employer: The employer provides the practical work experience, a safe working environment, mentorship, and opportunities for the learner to apply theoretical knowledge. They are responsible for signing a learnership agreement, paying a stipend to the learner, and ensuring that the workplace experience aligns with the learnership curriculum . Employers also play a role in assessing the learner's practical competence . Training Provider (Skills Development Provider - SDP): The training provider delivers the theoretical component of the learnership, develops the curriculum, assesses the learner's theoretical understanding, and ensures that the training meets the standards set by the relevant Sector Education and Training Authority (SETA) . They are also responsible for learner registration and certification . SETA (Sector Education and Training Authority): SETAs are responsible for developing and implementing sector-specific skills development strategies. For learnerships, they register learnership agreements, quality assure the training providers and programs, disburse grants to employers, and ensure the overall quality and relevance of the learnership .</w:t>
      </w:r>
    </w:p>
    <w:p w14:paraId="56084DE8"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lastRenderedPageBreak/>
        <w:t>Internships</w:t>
      </w:r>
    </w:p>
    <w:p w14:paraId="5AAE4397" w14:textId="7A9E01C5"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Internships are typically shorter-term placements designed to provide practical work experience, often for students or recent graduates, to gain exposure to a particular industry or role .Intern: The intern is responsible for actively engaging in assigned tasks, learning from experienced professionals, demonstrating initiative, adhering to company policies, and seeking feedback to improve their skills and understanding of the work environment . Employer/Host Organization: The employer provides a structured learning environment, assigns meaningful tasks, offers mentorship and supervision, and provides feedback to the intern. They are responsible for ensuring the intern gains valuable experience relevant to their field of study or career aspirations . Educational Institution (if applicable): If the internship is part of an academic program, the educational institution may be responsible for setting learning objectives, monitoring the intern's progress, and providing academic support .</w:t>
      </w:r>
    </w:p>
    <w:p w14:paraId="6A63EFAA"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Experiential Learning</w:t>
      </w:r>
    </w:p>
    <w:p w14:paraId="3FC1A29E" w14:textId="14395465"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Experiential learning is a broad category that emphasizes learning through doing and reflection. It can include various forms, such as practical projects, simulations, and work-integrated learning (WIL) . Learner: The learner is responsible for active participation, critical reflection on their experiences, applying theoretical knowledge to practical situations, and taking ownership of their learning journey .Facilitator/Educator: The facilitator designs and guides the learning experience, provides resources, encourages reflection, and offers feedback to help learners make sense of their experiences .Workplace/Context: The workplace or specific context provides the environment and opportunities for the learner to engage in practical activities and gain real-world experience .</w:t>
      </w:r>
    </w:p>
    <w:p w14:paraId="02885960" w14:textId="77777777" w:rsidR="00CD0FBA" w:rsidRPr="00CD0FBA" w:rsidRDefault="00CD0FBA" w:rsidP="00CD0FBA">
      <w:pPr>
        <w:spacing w:line="360" w:lineRule="auto"/>
        <w:rPr>
          <w:rFonts w:ascii="Bookman Old Style" w:hAnsi="Bookman Old Style" w:cs="Segoe UI Light"/>
          <w:b/>
          <w:bCs/>
          <w:sz w:val="24"/>
          <w:lang w:val="en-GB"/>
        </w:rPr>
      </w:pPr>
      <w:r w:rsidRPr="00CD0FBA">
        <w:rPr>
          <w:rFonts w:ascii="Bookman Old Style" w:hAnsi="Bookman Old Style" w:cs="Segoe UI Light"/>
          <w:b/>
          <w:bCs/>
          <w:sz w:val="24"/>
          <w:lang w:val="en-GB"/>
        </w:rPr>
        <w:t>Apprenticeships</w:t>
      </w:r>
    </w:p>
    <w:p w14:paraId="53D8753C" w14:textId="061D322C" w:rsidR="00CD0FBA" w:rsidRPr="00CD0FBA" w:rsidRDefault="00CD0FBA" w:rsidP="00CD0FBA">
      <w:pPr>
        <w:spacing w:line="360" w:lineRule="auto"/>
        <w:rPr>
          <w:rFonts w:ascii="Bookman Old Style" w:hAnsi="Bookman Old Style" w:cs="Segoe UI Light"/>
          <w:sz w:val="24"/>
          <w:lang w:val="en-GB"/>
        </w:rPr>
      </w:pPr>
      <w:r w:rsidRPr="00CD0FBA">
        <w:rPr>
          <w:rFonts w:ascii="Bookman Old Style" w:hAnsi="Bookman Old Style" w:cs="Segoe UI Light"/>
          <w:sz w:val="24"/>
          <w:lang w:val="en-GB"/>
        </w:rPr>
        <w:t xml:space="preserve">Apprenticeships are long-term, structured training programs that combine on-the-job training with theoretical instruction, leading to a recognized trade qualification . They are particularly prevalent in technical and vocational fields. Apprentice: The apprentice is responsible for diligently learning the trade, attending all theoretical </w:t>
      </w:r>
      <w:r w:rsidRPr="00CD0FBA">
        <w:rPr>
          <w:rFonts w:ascii="Bookman Old Style" w:hAnsi="Bookman Old Style" w:cs="Segoe UI Light"/>
          <w:sz w:val="24"/>
          <w:lang w:val="en-GB"/>
        </w:rPr>
        <w:lastRenderedPageBreak/>
        <w:t>training, mastering practical skills under supervision, adhering to safety regulations, and committing to completing the apprenticeship program . Employer (Master Craftsman/Company): The employer provides comprehensive on-the-job training, mentorship by experienced artisans, a safe working environment, and opportunities for the apprentice to develop proficiency in all aspects of the trade. They are responsible for signing an apprenticeship contract, paying a wage, and ensuring the training aligns with the occupational curriculum  .Training Provider (TVET College or Private Provider): The training provider delivers the theoretical and institutional practical components of the apprenticeship, assesses the apprentice's knowledge and skills, and ensures the training meets the standards set by the Quality Council for Trades and Occupations (QCTO). QCTO (Quality Council for Trades and Occupations): The QCTO is responsible for the development, oversight, and quality assurance of occupational qualifications, including apprenticeships, in South Africa. They ensure that qualifications are relevant, meet industry needs, and are of high quality . The most relevant answer part is that work-based learning in South Africa involves a collaborative effort between learners, employers, training providers, and regulatory bodies (SETAs and QCTO) to provide practical experience and nationally recognized qualifications across various models like learnerships, internships, experiential learning, and apprenticeships, each with specific roles and responsibilities to ensure skills development and employability </w:t>
      </w:r>
    </w:p>
    <w:p w14:paraId="07C5C554" w14:textId="77777777" w:rsidR="00CD0FBA" w:rsidRPr="00CD0FBA" w:rsidRDefault="00CD0FBA" w:rsidP="00CD0FBA">
      <w:pPr>
        <w:spacing w:line="360" w:lineRule="auto"/>
        <w:rPr>
          <w:rFonts w:ascii="Bookman Old Style" w:hAnsi="Bookman Old Style" w:cs="Segoe UI Light"/>
          <w:sz w:val="24"/>
        </w:rPr>
      </w:pPr>
    </w:p>
    <w:p w14:paraId="6B3C22B0" w14:textId="77777777" w:rsidR="00C45200" w:rsidRPr="00C45200" w:rsidRDefault="00C45200" w:rsidP="00C45200">
      <w:pPr>
        <w:spacing w:line="360" w:lineRule="auto"/>
        <w:rPr>
          <w:rFonts w:ascii="Bookman Old Style" w:hAnsi="Bookman Old Style" w:cs="Segoe UI Light"/>
          <w:b/>
          <w:bCs/>
          <w:sz w:val="24"/>
        </w:rPr>
      </w:pPr>
      <w:r w:rsidRPr="00C45200">
        <w:rPr>
          <w:rFonts w:ascii="Bookman Old Style" w:hAnsi="Bookman Old Style" w:cs="Segoe UI Light"/>
          <w:b/>
          <w:bCs/>
          <w:sz w:val="24"/>
        </w:rPr>
        <w:t xml:space="preserve">Internal Assessment Criteria and Weight </w:t>
      </w:r>
    </w:p>
    <w:p w14:paraId="44FC73E4" w14:textId="6B8D1864" w:rsidR="00C45200" w:rsidRPr="00C45200" w:rsidRDefault="00C45200" w:rsidP="008A5553">
      <w:pPr>
        <w:pStyle w:val="ListParagraph"/>
        <w:numPr>
          <w:ilvl w:val="0"/>
          <w:numId w:val="30"/>
        </w:numPr>
        <w:spacing w:line="360" w:lineRule="auto"/>
        <w:rPr>
          <w:rFonts w:ascii="Bookman Old Style" w:hAnsi="Bookman Old Style" w:cs="Segoe UI Light"/>
          <w:sz w:val="24"/>
        </w:rPr>
      </w:pPr>
      <w:r w:rsidRPr="00C45200">
        <w:rPr>
          <w:rFonts w:ascii="Bookman Old Style" w:hAnsi="Bookman Old Style" w:cs="Segoe UI Light"/>
          <w:sz w:val="24"/>
        </w:rPr>
        <w:t xml:space="preserve">IAC0101 Work based learning and development concepts and practices are explained within the occupationally directed environment </w:t>
      </w:r>
    </w:p>
    <w:p w14:paraId="2C9B7837" w14:textId="23F6DE40" w:rsidR="00D745E0" w:rsidRPr="00380609" w:rsidRDefault="00C45200" w:rsidP="00C45200">
      <w:pPr>
        <w:spacing w:line="360" w:lineRule="auto"/>
        <w:rPr>
          <w:rFonts w:ascii="Bookman Old Style" w:hAnsi="Bookman Old Style" w:cs="Segoe UI Light"/>
          <w:sz w:val="24"/>
          <w:lang w:val="en-GB"/>
        </w:rPr>
      </w:pPr>
      <w:r w:rsidRPr="00C45200">
        <w:rPr>
          <w:rFonts w:ascii="Bookman Old Style" w:hAnsi="Bookman Old Style" w:cs="Segoe UI Light"/>
          <w:b/>
          <w:bCs/>
          <w:sz w:val="24"/>
        </w:rPr>
        <w:t>(Weight 30%)</w:t>
      </w:r>
    </w:p>
    <w:p w14:paraId="6EF95D8D" w14:textId="77777777" w:rsidR="00D745E0" w:rsidRDefault="00D745E0" w:rsidP="005B1D66">
      <w:pPr>
        <w:spacing w:line="360" w:lineRule="auto"/>
        <w:rPr>
          <w:rFonts w:ascii="Bookman Old Style" w:hAnsi="Bookman Old Style" w:cs="Segoe UI Light"/>
          <w:sz w:val="24"/>
          <w:lang w:val="en-GB"/>
        </w:rPr>
      </w:pPr>
    </w:p>
    <w:p w14:paraId="1F49C6CA" w14:textId="77777777" w:rsidR="00EA0585" w:rsidRDefault="00EA0585" w:rsidP="005B1D66">
      <w:pPr>
        <w:spacing w:line="360" w:lineRule="auto"/>
        <w:rPr>
          <w:rFonts w:ascii="Bookman Old Style" w:hAnsi="Bookman Old Style" w:cs="Segoe UI Light"/>
          <w:sz w:val="24"/>
          <w:lang w:val="en-GB"/>
        </w:rPr>
      </w:pPr>
    </w:p>
    <w:p w14:paraId="78BD522C" w14:textId="77777777" w:rsidR="009656CE" w:rsidRDefault="009656CE" w:rsidP="005B1D66">
      <w:pPr>
        <w:spacing w:line="360" w:lineRule="auto"/>
        <w:rPr>
          <w:rFonts w:ascii="Bookman Old Style" w:hAnsi="Bookman Old Style" w:cs="Segoe UI Light"/>
          <w:sz w:val="24"/>
          <w:lang w:val="en-GB"/>
        </w:rPr>
      </w:pP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1C5BE724" w14:textId="37D296CB" w:rsidR="00170710" w:rsidRPr="009656CE" w:rsidRDefault="00C45200" w:rsidP="005B1D66">
      <w:pPr>
        <w:pStyle w:val="Heading1"/>
        <w:numPr>
          <w:ilvl w:val="0"/>
          <w:numId w:val="0"/>
        </w:numPr>
        <w:spacing w:line="360" w:lineRule="auto"/>
        <w:rPr>
          <w:rFonts w:ascii="Bookman Old Style" w:hAnsi="Bookman Old Style"/>
          <w:bCs/>
          <w:sz w:val="24"/>
          <w:szCs w:val="24"/>
        </w:rPr>
      </w:pPr>
      <w:bookmarkStart w:id="12" w:name="_Toc211698282"/>
      <w:r w:rsidRPr="00C45200">
        <w:rPr>
          <w:rFonts w:ascii="Bookman Old Style" w:hAnsi="Bookman Old Style"/>
          <w:bCs/>
          <w:sz w:val="24"/>
          <w:szCs w:val="24"/>
        </w:rPr>
        <w:lastRenderedPageBreak/>
        <w:t>KM-07-KT02: Planning and scheduling work-based learning (20%)</w:t>
      </w:r>
      <w:bookmarkEnd w:id="12"/>
    </w:p>
    <w:p w14:paraId="52CC411F" w14:textId="77777777" w:rsidR="00C45200" w:rsidRPr="00C45200" w:rsidRDefault="00C45200" w:rsidP="00C45200">
      <w:pPr>
        <w:spacing w:line="360" w:lineRule="auto"/>
        <w:rPr>
          <w:rFonts w:ascii="Bookman Old Style" w:hAnsi="Bookman Old Style" w:cs="Segoe UI Light"/>
          <w:b/>
          <w:i/>
          <w:iCs/>
          <w:sz w:val="24"/>
          <w:lang w:val="en-GB"/>
        </w:rPr>
      </w:pPr>
      <w:r w:rsidRPr="00C45200">
        <w:rPr>
          <w:rFonts w:ascii="Bookman Old Style" w:hAnsi="Bookman Old Style" w:cs="Segoe UI Light"/>
          <w:b/>
          <w:i/>
          <w:iCs/>
          <w:sz w:val="24"/>
          <w:lang w:val="en-GB"/>
        </w:rPr>
        <w:t xml:space="preserve">Topic elements to be covered include: </w:t>
      </w:r>
    </w:p>
    <w:p w14:paraId="00EB1C54" w14:textId="48A051EC" w:rsidR="00C45200" w:rsidRP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KT0201 Work based learning opportunities </w:t>
      </w:r>
    </w:p>
    <w:p w14:paraId="56AA82BA" w14:textId="291A83C6" w:rsid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KT0202 Scheduling learning in a production or services environment </w:t>
      </w:r>
    </w:p>
    <w:p w14:paraId="681FA705" w14:textId="21574E19" w:rsidR="00CD0FBA" w:rsidRDefault="00CD0FBA" w:rsidP="00CD0FBA">
      <w:pPr>
        <w:spacing w:line="360" w:lineRule="auto"/>
        <w:rPr>
          <w:rFonts w:ascii="Bookman Old Style" w:hAnsi="Bookman Old Style" w:cs="Segoe UI Light"/>
          <w:bCs/>
          <w:sz w:val="24"/>
          <w:lang w:val="en-GB"/>
        </w:rPr>
      </w:pPr>
    </w:p>
    <w:p w14:paraId="62D5D39C" w14:textId="5B9333DE" w:rsidR="00CD0FBA" w:rsidRPr="00CD0FBA" w:rsidRDefault="00CD0FBA" w:rsidP="00CD0FBA">
      <w:pPr>
        <w:spacing w:line="360" w:lineRule="auto"/>
        <w:rPr>
          <w:rFonts w:ascii="Bookman Old Style" w:hAnsi="Bookman Old Style" w:cs="Segoe UI Light"/>
          <w:b/>
          <w:sz w:val="24"/>
          <w:u w:val="single"/>
          <w:lang w:val="en-GB"/>
        </w:rPr>
      </w:pPr>
      <w:r w:rsidRPr="00CD0FBA">
        <w:rPr>
          <w:rFonts w:ascii="Bookman Old Style" w:hAnsi="Bookman Old Style" w:cs="Segoe UI Light"/>
          <w:b/>
          <w:sz w:val="24"/>
          <w:u w:val="single"/>
          <w:lang w:val="en-GB"/>
        </w:rPr>
        <w:t xml:space="preserve">KT0201 Work based learning opportunities </w:t>
      </w:r>
    </w:p>
    <w:p w14:paraId="47F943A3" w14:textId="5C06B94B"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rPr>
        <w:t>Work-based learning in planning and scheduling in South Africa encompasses various training programs designed to equip professionals with the necessary skills to manage projects effectively. These programs often cater to individuals already involved in project management or those looking to formalize and enhance their expertise.</w:t>
      </w:r>
      <w:r>
        <w:rPr>
          <w:rFonts w:ascii="Bookman Old Style" w:hAnsi="Bookman Old Style" w:cs="Segoe UI Light"/>
          <w:bCs/>
          <w:sz w:val="24"/>
          <w:lang w:val="en-GB"/>
        </w:rPr>
        <w:t xml:space="preserve"> </w:t>
      </w:r>
      <w:r w:rsidRPr="006E415E">
        <w:rPr>
          <w:rFonts w:ascii="Bookman Old Style" w:hAnsi="Bookman Old Style" w:cs="Segoe UI Light"/>
          <w:bCs/>
          <w:sz w:val="24"/>
          <w:lang w:val="en-GB"/>
        </w:rPr>
        <w:t>One key aspect of such training is </w:t>
      </w:r>
      <w:r w:rsidRPr="006E415E">
        <w:rPr>
          <w:rFonts w:ascii="Bookman Old Style" w:hAnsi="Bookman Old Style" w:cs="Segoe UI Light"/>
          <w:b/>
          <w:bCs/>
          <w:sz w:val="24"/>
          <w:lang w:val="en-GB"/>
        </w:rPr>
        <w:t>effective planning and scheduling</w:t>
      </w:r>
      <w:r w:rsidRPr="006E415E">
        <w:rPr>
          <w:rFonts w:ascii="Bookman Old Style" w:hAnsi="Bookman Old Style" w:cs="Segoe UI Light"/>
          <w:bCs/>
          <w:sz w:val="24"/>
          <w:lang w:val="en-GB"/>
        </w:rPr>
        <w:t>, which involves understanding how to accurately determine project durations, manage resources, and mitigate risks . This is crucial in a dynamic business environment where projects often face uncertainties .</w:t>
      </w:r>
    </w:p>
    <w:p w14:paraId="40A4AFE3" w14:textId="77777777"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lang w:val="en-GB"/>
        </w:rPr>
        <w:t>Training courses in this domain typically cover a range of competencies, including:</w:t>
      </w:r>
    </w:p>
    <w:p w14:paraId="01CA3A42" w14:textId="4683A0A4"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Defining and creating a Work Breakdown Structure (WBS)</w:t>
      </w:r>
      <w:r w:rsidRPr="006E415E">
        <w:rPr>
          <w:rFonts w:ascii="Bookman Old Style" w:hAnsi="Bookman Old Style" w:cs="Segoe UI Light"/>
          <w:bCs/>
          <w:sz w:val="24"/>
          <w:lang w:val="en-GB"/>
        </w:rPr>
        <w:t>: This involves breaking down a project into smaller, manageable components to facilitate planning and execution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Identifying and understanding task relationships</w:t>
      </w:r>
      <w:r w:rsidRPr="006E415E">
        <w:rPr>
          <w:rFonts w:ascii="Bookman Old Style" w:hAnsi="Bookman Old Style" w:cs="Segoe UI Light"/>
          <w:bCs/>
          <w:sz w:val="24"/>
          <w:lang w:val="en-GB"/>
        </w:rPr>
        <w:t>: Recognizing dependencies between tasks is vital for creating realistic schedules </w:t>
      </w:r>
      <w:r>
        <w:rPr>
          <w:rFonts w:ascii="Bookman Old Style" w:hAnsi="Bookman Old Style" w:cs="Segoe UI Light"/>
          <w:bCs/>
          <w:sz w:val="24"/>
          <w:lang w:val="en-GB"/>
        </w:rPr>
        <w:t>/</w:t>
      </w:r>
      <w:r w:rsidRPr="006E415E">
        <w:rPr>
          <w:rFonts w:ascii="Bookman Old Style" w:hAnsi="Bookman Old Style" w:cs="Segoe UI Light"/>
          <w:b/>
          <w:bCs/>
          <w:sz w:val="24"/>
          <w:lang w:val="en-GB"/>
        </w:rPr>
        <w:t>Estimating task durations and determining project duration</w:t>
      </w:r>
      <w:r w:rsidRPr="006E415E">
        <w:rPr>
          <w:rFonts w:ascii="Bookman Old Style" w:hAnsi="Bookman Old Style" w:cs="Segoe UI Light"/>
          <w:bCs/>
          <w:sz w:val="24"/>
          <w:lang w:val="en-GB"/>
        </w:rPr>
        <w:t>: Techniques like the Program Evaluation and Review Technique (PERT) are often taught to create more accurate estimates . PERT uses a weighted average of optimistic, pessimistic, and most likely durations to estimate task completion time, often represented by the formula: E=(O+4M+P)6 where E is the expected duration, O is the optimistic duration, M is the most likely duration, and P is the pessimistic duration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Constructing network diagrams and calculating the critical path</w:t>
      </w:r>
      <w:r w:rsidRPr="006E415E">
        <w:rPr>
          <w:rFonts w:ascii="Bookman Old Style" w:hAnsi="Bookman Old Style" w:cs="Segoe UI Light"/>
          <w:bCs/>
          <w:sz w:val="24"/>
          <w:lang w:val="en-GB"/>
        </w:rPr>
        <w:t xml:space="preserve">: The critical path method (CPM) is a fundamental tool for identifying the longest sequence of activities that must be completed on time for the entire </w:t>
      </w:r>
      <w:r w:rsidRPr="006E415E">
        <w:rPr>
          <w:rFonts w:ascii="Bookman Old Style" w:hAnsi="Bookman Old Style" w:cs="Segoe UI Light"/>
          <w:bCs/>
          <w:sz w:val="24"/>
          <w:lang w:val="en-GB"/>
        </w:rPr>
        <w:lastRenderedPageBreak/>
        <w:t>project to be completed by its due date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Planning for risks and creating a communication plan</w:t>
      </w:r>
      <w:r w:rsidRPr="006E415E">
        <w:rPr>
          <w:rFonts w:ascii="Bookman Old Style" w:hAnsi="Bookman Old Style" w:cs="Segoe UI Light"/>
          <w:bCs/>
          <w:sz w:val="24"/>
          <w:lang w:val="en-GB"/>
        </w:rPr>
        <w:t>: Proactive risk management and clear communication are essential for project success </w:t>
      </w:r>
      <w:r>
        <w:rPr>
          <w:rFonts w:ascii="Bookman Old Style" w:hAnsi="Bookman Old Style" w:cs="Segoe UI Light"/>
          <w:b/>
          <w:bCs/>
          <w:sz w:val="24"/>
          <w:lang w:val="en-GB"/>
        </w:rPr>
        <w:t>.</w:t>
      </w:r>
      <w:r w:rsidRPr="006E415E">
        <w:rPr>
          <w:rFonts w:ascii="Bookman Old Style" w:hAnsi="Bookman Old Style" w:cs="Segoe UI Light"/>
          <w:b/>
          <w:bCs/>
          <w:sz w:val="24"/>
          <w:lang w:val="en-GB"/>
        </w:rPr>
        <w:t>Effectively allocating project resources</w:t>
      </w:r>
      <w:r w:rsidRPr="006E415E">
        <w:rPr>
          <w:rFonts w:ascii="Bookman Old Style" w:hAnsi="Bookman Old Style" w:cs="Segoe UI Light"/>
          <w:bCs/>
          <w:sz w:val="24"/>
          <w:lang w:val="en-GB"/>
        </w:rPr>
        <w:t>: This involves optimizing the use of available resources to meet project objectives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Updating and monitoring the project schedule</w:t>
      </w:r>
      <w:r w:rsidRPr="006E415E">
        <w:rPr>
          <w:rFonts w:ascii="Bookman Old Style" w:hAnsi="Bookman Old Style" w:cs="Segoe UI Light"/>
          <w:bCs/>
          <w:sz w:val="24"/>
          <w:lang w:val="en-GB"/>
        </w:rPr>
        <w:t>: Continuous monitoring and adjustments are necessary to keep projects on track .</w:t>
      </w:r>
    </w:p>
    <w:p w14:paraId="45CFAA67" w14:textId="59A1EA8D"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lang w:val="en-GB"/>
        </w:rPr>
        <w:t>Many programs also delve into </w:t>
      </w:r>
      <w:r w:rsidRPr="006E415E">
        <w:rPr>
          <w:rFonts w:ascii="Bookman Old Style" w:hAnsi="Bookman Old Style" w:cs="Segoe UI Light"/>
          <w:b/>
          <w:bCs/>
          <w:sz w:val="24"/>
          <w:lang w:val="en-GB"/>
        </w:rPr>
        <w:t>project scheduling and cost planning skills</w:t>
      </w:r>
      <w:r w:rsidRPr="006E415E">
        <w:rPr>
          <w:rFonts w:ascii="Bookman Old Style" w:hAnsi="Bookman Old Style" w:cs="Segoe UI Light"/>
          <w:bCs/>
          <w:sz w:val="24"/>
          <w:lang w:val="en-GB"/>
        </w:rPr>
        <w:t>, focusing on delivering reliable plans with accurate time and cost estimates . This includes gaining knowledge of techniques used in project estimating from conceptual to detailed stages, understanding different types of estimates, and identifying and minimizing risk impacts . Participants learn to develop effective performance monitoring and control systems, often incorporating earned value techniques to measure, forecast, and control project performance . The ability to develop a project recovery plan for budget and schedule overruns is also a critical skill imparted .These work-based learning opportunities are beneficial for a wide range of professionals, including project managers, cost estimators, project schedulers, project designers, and senior managers who seek to understand best practices in project management </w:t>
      </w:r>
      <w:r>
        <w:rPr>
          <w:rFonts w:ascii="Bookman Old Style" w:hAnsi="Bookman Old Style" w:cs="Segoe UI Light"/>
          <w:bCs/>
          <w:sz w:val="24"/>
          <w:lang w:val="en-GB"/>
        </w:rPr>
        <w:t>,</w:t>
      </w:r>
      <w:r w:rsidRPr="006E415E">
        <w:rPr>
          <w:rFonts w:ascii="Bookman Old Style" w:hAnsi="Bookman Old Style" w:cs="Segoe UI Light"/>
          <w:bCs/>
          <w:sz w:val="24"/>
          <w:lang w:val="en-GB"/>
        </w:rPr>
        <w:t>Some courses are designed for individuals who wish to facilitate outcomes-based learning, teaching essentials of facilitation from preparation to conducting and evaluating results</w:t>
      </w:r>
    </w:p>
    <w:p w14:paraId="166EEB82" w14:textId="77777777" w:rsidR="006E415E" w:rsidRPr="006E415E" w:rsidRDefault="006E415E" w:rsidP="006E415E">
      <w:pPr>
        <w:spacing w:line="360" w:lineRule="auto"/>
        <w:rPr>
          <w:rFonts w:ascii="Bookman Old Style" w:hAnsi="Bookman Old Style" w:cs="Segoe UI Light"/>
          <w:b/>
          <w:i/>
          <w:iCs/>
          <w:sz w:val="24"/>
          <w:lang w:val="en-GB"/>
        </w:rPr>
      </w:pPr>
      <w:r w:rsidRPr="006E415E">
        <w:rPr>
          <w:rFonts w:ascii="Bookman Old Style" w:hAnsi="Bookman Old Style" w:cs="Segoe UI Light"/>
          <w:b/>
          <w:i/>
          <w:iCs/>
          <w:sz w:val="24"/>
          <w:lang w:val="en-GB"/>
        </w:rPr>
        <w:t xml:space="preserve">Work based learning opportunities are listed and their application explained </w:t>
      </w:r>
    </w:p>
    <w:p w14:paraId="76CDA200" w14:textId="2A670C50" w:rsidR="00CD0FBA" w:rsidRDefault="006E415E" w:rsidP="00CD0FBA">
      <w:pPr>
        <w:spacing w:line="360" w:lineRule="auto"/>
        <w:rPr>
          <w:rFonts w:ascii="Bookman Old Style" w:hAnsi="Bookman Old Style" w:cs="Segoe UI Light"/>
          <w:bCs/>
          <w:sz w:val="24"/>
        </w:rPr>
      </w:pPr>
      <w:r w:rsidRPr="006E415E">
        <w:rPr>
          <w:rFonts w:ascii="Bookman Old Style" w:hAnsi="Bookman Old Style" w:cs="Segoe UI Light"/>
          <w:bCs/>
          <w:sz w:val="24"/>
        </w:rPr>
        <w:t>Work-based learning (WBL) opportunities in South Africa are crucial for bridging the gap between education and employment, equipping individuals with practical skills and industry exposure. These opportunities are diverse and include apprenticeships, learnerships, internships, and practical placements. The application process for these programs typically involves several steps, from identifying suitable opportunities to formal enrolment and participation.</w:t>
      </w:r>
    </w:p>
    <w:p w14:paraId="4E501B86" w14:textId="723CC1F0" w:rsidR="006E415E" w:rsidRDefault="006E415E" w:rsidP="00CD0FBA">
      <w:pPr>
        <w:spacing w:line="360" w:lineRule="auto"/>
        <w:rPr>
          <w:rFonts w:ascii="Bookman Old Style" w:hAnsi="Bookman Old Style" w:cs="Segoe UI Light"/>
          <w:bCs/>
          <w:sz w:val="24"/>
        </w:rPr>
      </w:pPr>
    </w:p>
    <w:p w14:paraId="1FE9015C" w14:textId="77777777" w:rsidR="006E415E" w:rsidRDefault="006E415E" w:rsidP="00CD0FBA">
      <w:pPr>
        <w:spacing w:line="360" w:lineRule="auto"/>
        <w:rPr>
          <w:rFonts w:ascii="Bookman Old Style" w:hAnsi="Bookman Old Style" w:cs="Segoe UI Light"/>
          <w:bCs/>
          <w:sz w:val="24"/>
          <w:lang w:val="en-GB"/>
        </w:rPr>
      </w:pPr>
    </w:p>
    <w:p w14:paraId="3A02E8EF" w14:textId="77777777" w:rsidR="006E415E" w:rsidRPr="006E415E" w:rsidRDefault="006E415E" w:rsidP="006E415E">
      <w:pPr>
        <w:spacing w:line="360" w:lineRule="auto"/>
        <w:rPr>
          <w:rFonts w:ascii="Bookman Old Style" w:hAnsi="Bookman Old Style" w:cs="Segoe UI Light"/>
          <w:b/>
          <w:bCs/>
          <w:sz w:val="24"/>
          <w:lang w:val="en-GB"/>
        </w:rPr>
      </w:pPr>
      <w:r w:rsidRPr="006E415E">
        <w:rPr>
          <w:rFonts w:ascii="Bookman Old Style" w:hAnsi="Bookman Old Style" w:cs="Segoe UI Light"/>
          <w:b/>
          <w:bCs/>
          <w:sz w:val="24"/>
          <w:lang w:val="en-GB"/>
        </w:rPr>
        <w:lastRenderedPageBreak/>
        <w:t>Types of Work-Based Learning Opportunities in South Africa</w:t>
      </w:r>
    </w:p>
    <w:p w14:paraId="1CAEF104" w14:textId="38A53308"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Apprenticeships</w:t>
      </w:r>
      <w:r w:rsidRPr="006E415E">
        <w:rPr>
          <w:rFonts w:ascii="Bookman Old Style" w:hAnsi="Bookman Old Style" w:cs="Segoe UI Light"/>
          <w:bCs/>
          <w:sz w:val="24"/>
          <w:lang w:val="en-GB"/>
        </w:rPr>
        <w:t> are structured programs that combine on-the-job training with theoretical instruction, leading to a recognized qualification in a specific trade or occupation. They are often regulated by Sector Education and Training Authorities (SETAs) and are a cornerstone of skills development in South Africa.</w:t>
      </w:r>
      <w:hyperlink r:id="rId10" w:anchor="fn:1" w:tooltip="see footnote" w:history="1">
        <w:r w:rsidRPr="006E415E">
          <w:rPr>
            <w:rStyle w:val="Hyperlink"/>
            <w:rFonts w:ascii="Bookman Old Style" w:hAnsi="Bookman Old Style" w:cs="Segoe UI Light"/>
            <w:bCs/>
            <w:sz w:val="24"/>
            <w:vertAlign w:val="superscript"/>
            <w:lang w:val="en-GB"/>
          </w:rPr>
          <w:t>[1]</w:t>
        </w:r>
      </w:hyperlink>
      <w:r w:rsidRPr="006E415E">
        <w:rPr>
          <w:rFonts w:ascii="Bookman Old Style" w:hAnsi="Bookman Old Style" w:cs="Segoe UI Light"/>
          <w:bCs/>
          <w:sz w:val="24"/>
          <w:lang w:val="en-GB"/>
        </w:rPr>
        <w:t xml:space="preserve"> For example, the National Skills Development Plan (NSDP) emphasizes apprenticeships as a key mechanism for addressing skills shortages. </w:t>
      </w:r>
    </w:p>
    <w:p w14:paraId="44BBE489" w14:textId="7DA7D36E"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Learnerships</w:t>
      </w:r>
      <w:r w:rsidRPr="006E415E">
        <w:rPr>
          <w:rFonts w:ascii="Bookman Old Style" w:hAnsi="Bookman Old Style" w:cs="Segoe UI Light"/>
          <w:bCs/>
          <w:sz w:val="24"/>
          <w:lang w:val="en-GB"/>
        </w:rPr>
        <w:t> are work-based learning programs that lead to a registered qualification on the National Qualifications Framework (NQF). They are designed to address specific skills needs within industries and involve both structured learning and practical work experience. Learnerships are often funded by SETAs and can be a pathway to employment for unemployed individuals or upskilling for existing employees.</w:t>
      </w:r>
      <w:r w:rsidRPr="006E415E">
        <w:rPr>
          <w:rFonts w:ascii="Bookman Old Style" w:hAnsi="Bookman Old Style" w:cs="Segoe UI Light"/>
          <w:b/>
          <w:bCs/>
          <w:sz w:val="24"/>
          <w:lang w:val="en-GB"/>
        </w:rPr>
        <w:t xml:space="preserve"> Internships</w:t>
      </w:r>
      <w:r w:rsidRPr="006E415E">
        <w:rPr>
          <w:rFonts w:ascii="Bookman Old Style" w:hAnsi="Bookman Old Style" w:cs="Segoe UI Light"/>
          <w:bCs/>
          <w:sz w:val="24"/>
          <w:lang w:val="en-GB"/>
        </w:rPr>
        <w:t> provide practical work experience in a professional environment, typically for a fixed period. They are often undertaken by students or recent graduates to gain industry exposure and develop professional skills. While some internships are unpaid, many companies offer stipends or salaries, especially for longer-term programs. The Department of Higher Education and Training (DHET) encourages internships as a way to enhance graduate employability.</w:t>
      </w:r>
      <w:r w:rsidRPr="006E415E">
        <w:rPr>
          <w:rFonts w:ascii="Bookman Old Style" w:hAnsi="Bookman Old Style" w:cs="Segoe UI Light"/>
          <w:b/>
          <w:bCs/>
          <w:sz w:val="24"/>
          <w:lang w:val="en-GB"/>
        </w:rPr>
        <w:t xml:space="preserve"> Practical Placements</w:t>
      </w:r>
      <w:r w:rsidRPr="006E415E">
        <w:rPr>
          <w:rFonts w:ascii="Bookman Old Style" w:hAnsi="Bookman Old Style" w:cs="Segoe UI Light"/>
          <w:bCs/>
          <w:sz w:val="24"/>
          <w:lang w:val="en-GB"/>
        </w:rPr>
        <w:t xml:space="preserve"> are often integrated into academic programs, particularly in fields like engineering, health sciences, and education. These placements allow students to apply theoretical knowledge in real-world settings under supervision. Universities and TVET colleges frequently partner with industries to facilitate these placements, which are essential for meeting qualification requirements. </w:t>
      </w:r>
    </w:p>
    <w:p w14:paraId="773B2F3D" w14:textId="77777777" w:rsidR="006E415E" w:rsidRPr="006E415E" w:rsidRDefault="006E415E" w:rsidP="006E415E">
      <w:pPr>
        <w:spacing w:line="360" w:lineRule="auto"/>
        <w:rPr>
          <w:rFonts w:ascii="Bookman Old Style" w:hAnsi="Bookman Old Style" w:cs="Segoe UI Light"/>
          <w:b/>
          <w:bCs/>
          <w:sz w:val="24"/>
          <w:lang w:val="en-GB"/>
        </w:rPr>
      </w:pPr>
      <w:r w:rsidRPr="006E415E">
        <w:rPr>
          <w:rFonts w:ascii="Bookman Old Style" w:hAnsi="Bookman Old Style" w:cs="Segoe UI Light"/>
          <w:b/>
          <w:bCs/>
          <w:sz w:val="24"/>
          <w:lang w:val="en-GB"/>
        </w:rPr>
        <w:t>Application Process for Work-Based Learning in South Africa</w:t>
      </w:r>
    </w:p>
    <w:p w14:paraId="0D888FA6" w14:textId="4ACB704C"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lang w:val="en-GB"/>
        </w:rPr>
        <w:t xml:space="preserve">The application process for work-based learning opportunities in South Africa generally follows a structured approach: Identification of Opportunities: Individuals typically begin by researching available apprenticeships, learnerships, internships, or practical placements. This can be done through various channels, including SETA websites, company career pages, </w:t>
      </w:r>
      <w:r w:rsidRPr="006E415E">
        <w:rPr>
          <w:rFonts w:ascii="Bookman Old Style" w:hAnsi="Bookman Old Style" w:cs="Segoe UI Light"/>
          <w:bCs/>
          <w:sz w:val="24"/>
          <w:lang w:val="en-GB"/>
        </w:rPr>
        <w:lastRenderedPageBreak/>
        <w:t>job portals (e.g., </w:t>
      </w:r>
      <w:proofErr w:type="spellStart"/>
      <w:r w:rsidRPr="006E415E">
        <w:rPr>
          <w:rFonts w:ascii="Bookman Old Style" w:hAnsi="Bookman Old Style" w:cs="Segoe UI Light"/>
          <w:bCs/>
          <w:sz w:val="24"/>
          <w:lang w:val="en-GB"/>
        </w:rPr>
        <w:fldChar w:fldCharType="begin"/>
      </w:r>
      <w:r w:rsidRPr="006E415E">
        <w:rPr>
          <w:rFonts w:ascii="Bookman Old Style" w:hAnsi="Bookman Old Style" w:cs="Segoe UI Light"/>
          <w:bCs/>
          <w:sz w:val="24"/>
          <w:lang w:val="en-GB"/>
        </w:rPr>
        <w:instrText xml:space="preserve"> HYPERLINK "https://www.pnet.co.za/" </w:instrText>
      </w:r>
      <w:r w:rsidRPr="006E415E">
        <w:rPr>
          <w:rFonts w:ascii="Bookman Old Style" w:hAnsi="Bookman Old Style" w:cs="Segoe UI Light"/>
          <w:bCs/>
          <w:sz w:val="24"/>
          <w:lang w:val="en-GB"/>
        </w:rPr>
        <w:fldChar w:fldCharType="separate"/>
      </w:r>
      <w:r w:rsidRPr="006E415E">
        <w:rPr>
          <w:rStyle w:val="Hyperlink"/>
          <w:rFonts w:ascii="Bookman Old Style" w:hAnsi="Bookman Old Style" w:cs="Segoe UI Light"/>
          <w:bCs/>
          <w:sz w:val="24"/>
          <w:lang w:val="en-GB"/>
        </w:rPr>
        <w:t>Pnet</w:t>
      </w:r>
      <w:proofErr w:type="spellEnd"/>
      <w:r w:rsidRPr="006E415E">
        <w:rPr>
          <w:rFonts w:ascii="Bookman Old Style" w:hAnsi="Bookman Old Style" w:cs="Segoe UI Light"/>
          <w:bCs/>
          <w:sz w:val="24"/>
          <w:lang w:val="en-GB"/>
        </w:rPr>
        <w:fldChar w:fldCharType="end"/>
      </w:r>
      <w:r w:rsidRPr="006E415E">
        <w:rPr>
          <w:rFonts w:ascii="Bookman Old Style" w:hAnsi="Bookman Old Style" w:cs="Segoe UI Light"/>
          <w:bCs/>
          <w:sz w:val="24"/>
          <w:lang w:val="en-GB"/>
        </w:rPr>
        <w:t>, </w:t>
      </w:r>
      <w:hyperlink r:id="rId11" w:history="1">
        <w:r w:rsidRPr="006E415E">
          <w:rPr>
            <w:rStyle w:val="Hyperlink"/>
            <w:rFonts w:ascii="Bookman Old Style" w:hAnsi="Bookman Old Style" w:cs="Segoe UI Light"/>
            <w:bCs/>
            <w:sz w:val="24"/>
            <w:lang w:val="en-GB"/>
          </w:rPr>
          <w:t>Careers24</w:t>
        </w:r>
      </w:hyperlink>
      <w:r w:rsidRPr="006E415E">
        <w:rPr>
          <w:rFonts w:ascii="Bookman Old Style" w:hAnsi="Bookman Old Style" w:cs="Segoe UI Light"/>
          <w:bCs/>
          <w:sz w:val="24"/>
          <w:lang w:val="en-GB"/>
        </w:rPr>
        <w:t xml:space="preserve">), and university career </w:t>
      </w:r>
      <w:proofErr w:type="spellStart"/>
      <w:r w:rsidRPr="006E415E">
        <w:rPr>
          <w:rFonts w:ascii="Bookman Old Style" w:hAnsi="Bookman Old Style" w:cs="Segoe UI Light"/>
          <w:bCs/>
          <w:sz w:val="24"/>
          <w:lang w:val="en-GB"/>
        </w:rPr>
        <w:t>centers</w:t>
      </w:r>
      <w:proofErr w:type="spellEnd"/>
      <w:r w:rsidRPr="006E415E">
        <w:rPr>
          <w:rFonts w:ascii="Bookman Old Style" w:hAnsi="Bookman Old Style" w:cs="Segoe UI Light"/>
          <w:bCs/>
          <w:sz w:val="24"/>
          <w:lang w:val="en-GB"/>
        </w:rPr>
        <w:t>.</w:t>
      </w:r>
      <w:hyperlink r:id="rId12" w:anchor="fn:9" w:tooltip="see footnote" w:history="1">
        <w:r w:rsidRPr="006E415E">
          <w:rPr>
            <w:rStyle w:val="Hyperlink"/>
            <w:rFonts w:ascii="Bookman Old Style" w:hAnsi="Bookman Old Style" w:cs="Segoe UI Light"/>
            <w:bCs/>
            <w:sz w:val="24"/>
            <w:vertAlign w:val="superscript"/>
            <w:lang w:val="en-GB"/>
          </w:rPr>
          <w:t>[9]</w:t>
        </w:r>
      </w:hyperlink>
      <w:r w:rsidRPr="006E415E">
        <w:rPr>
          <w:rFonts w:ascii="Bookman Old Style" w:hAnsi="Bookman Old Style" w:cs="Segoe UI Light"/>
          <w:bCs/>
          <w:sz w:val="24"/>
          <w:lang w:val="en-GB"/>
        </w:rPr>
        <w:t> Government initiatives and programs, such as those promoted by the Department of Employment and Labour, also list relevant opportunities. Meeting Eligibility Criteria: Each WBL program has specific eligibility requirements, which may include educational qualifications, age limits, and sometimes prior work experience. Applicants must ensure they meet these criteria before proceeding. For instance, many learnerships require a matric certificate, while apprenticeships might require specific NQF levels in relevant subjects. Application Submission: The application typically involves submitting a curriculum vitae (CV), cover letter, academic transcripts, and sometimes references. Many organizations now use online application systems. It is crucial to tailor the application to the specific opportunity, highlighting relevant skills and experiences.  Assessment and Interviews: Shortlisted candidates are often invited for assessments, which may include aptitude tests, technical evaluations, or practical tasks. This is usually followed by one or more interviews, where candidates can demonstrate their suitability for the role and the organization. Selection and Placement: Successful candidates are offered a position. This stage involves signing a contract or agreement that outlines the terms and conditions of the WBL program, including duration, remuneration (if applicable), and learning objectives. For learnerships and apprenticeships, this often involves registration with the relevant SETA. Program Participation: Once placed, participants engage in the structured learning and practical work components of the program. This involves mentorship, supervision, and regular assessments to track progress and ensure learning outcomes are met. The successful completion of these programs often leads to a recognized qualification and enhanced employment prospects.</w:t>
      </w:r>
    </w:p>
    <w:p w14:paraId="150C5D95" w14:textId="77777777" w:rsidR="006E415E" w:rsidRPr="006E415E" w:rsidRDefault="006E415E" w:rsidP="00CD0FBA">
      <w:pPr>
        <w:spacing w:line="360" w:lineRule="auto"/>
        <w:rPr>
          <w:rFonts w:ascii="Bookman Old Style" w:hAnsi="Bookman Old Style" w:cs="Segoe UI Light"/>
          <w:bCs/>
          <w:sz w:val="24"/>
          <w:lang w:val="en-GB"/>
        </w:rPr>
      </w:pPr>
    </w:p>
    <w:p w14:paraId="2D5BE269" w14:textId="2AC17ADD" w:rsidR="00CD0FBA" w:rsidRPr="006E415E" w:rsidRDefault="00CD0FBA" w:rsidP="00CD0FBA">
      <w:pPr>
        <w:spacing w:line="360" w:lineRule="auto"/>
        <w:rPr>
          <w:rFonts w:ascii="Bookman Old Style" w:hAnsi="Bookman Old Style" w:cs="Segoe UI Light"/>
          <w:b/>
          <w:sz w:val="24"/>
          <w:u w:val="single"/>
          <w:lang w:val="en-GB"/>
        </w:rPr>
      </w:pPr>
      <w:r w:rsidRPr="006E415E">
        <w:rPr>
          <w:rFonts w:ascii="Bookman Old Style" w:hAnsi="Bookman Old Style" w:cs="Segoe UI Light"/>
          <w:b/>
          <w:sz w:val="24"/>
          <w:u w:val="single"/>
          <w:lang w:val="en-GB"/>
        </w:rPr>
        <w:t>KT0202 Scheduling learning in a production or services environment</w:t>
      </w:r>
    </w:p>
    <w:p w14:paraId="408C4C6E" w14:textId="5B9151AF" w:rsidR="00CD0FBA" w:rsidRDefault="006E415E" w:rsidP="00CD0FBA">
      <w:pPr>
        <w:spacing w:line="360" w:lineRule="auto"/>
        <w:rPr>
          <w:rFonts w:ascii="Bookman Old Style" w:hAnsi="Bookman Old Style" w:cs="Segoe UI Light"/>
          <w:bCs/>
          <w:sz w:val="24"/>
          <w:lang w:val="en-GB"/>
        </w:rPr>
      </w:pPr>
      <w:r w:rsidRPr="006E415E">
        <w:rPr>
          <w:rFonts w:ascii="Bookman Old Style" w:hAnsi="Bookman Old Style" w:cs="Segoe UI Light"/>
          <w:bCs/>
          <w:sz w:val="24"/>
        </w:rPr>
        <w:t xml:space="preserve">Work-based learning (WBL) opportunities in South Africa are crucial for bridging the gap between education and employment, equipping individuals with practical skills and industry exposure. These opportunities are diverse and include </w:t>
      </w:r>
      <w:r w:rsidRPr="006E415E">
        <w:rPr>
          <w:rFonts w:ascii="Bookman Old Style" w:hAnsi="Bookman Old Style" w:cs="Segoe UI Light"/>
          <w:bCs/>
          <w:sz w:val="24"/>
        </w:rPr>
        <w:lastRenderedPageBreak/>
        <w:t>apprenticeships, learnerships, internships, and practical placements. The application process for these programs typically involves several steps, from identifying suitable opportunities to formal enrolment and participation.</w:t>
      </w:r>
    </w:p>
    <w:p w14:paraId="762FD85A" w14:textId="77777777" w:rsidR="006E415E" w:rsidRPr="006E415E" w:rsidRDefault="006E415E" w:rsidP="006E415E">
      <w:pPr>
        <w:spacing w:line="360" w:lineRule="auto"/>
        <w:rPr>
          <w:rFonts w:ascii="Bookman Old Style" w:hAnsi="Bookman Old Style" w:cs="Segoe UI Light"/>
          <w:b/>
          <w:bCs/>
          <w:sz w:val="24"/>
          <w:lang w:val="en-GB"/>
        </w:rPr>
      </w:pPr>
      <w:r w:rsidRPr="006E415E">
        <w:rPr>
          <w:rFonts w:ascii="Bookman Old Style" w:hAnsi="Bookman Old Style" w:cs="Segoe UI Light"/>
          <w:b/>
          <w:bCs/>
          <w:sz w:val="24"/>
          <w:lang w:val="en-GB"/>
        </w:rPr>
        <w:t>Types of Work-Based Learning Opportunities in South Africa</w:t>
      </w:r>
    </w:p>
    <w:p w14:paraId="248BDEA5" w14:textId="0502A95B"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Apprenticeships</w:t>
      </w:r>
      <w:r w:rsidRPr="006E415E">
        <w:rPr>
          <w:rFonts w:ascii="Bookman Old Style" w:hAnsi="Bookman Old Style" w:cs="Segoe UI Light"/>
          <w:bCs/>
          <w:sz w:val="24"/>
          <w:lang w:val="en-GB"/>
        </w:rPr>
        <w:t xml:space="preserve"> are structured programs that combine on-the-job training with theoretical instruction, leading to a recognized qualification in a specific trade or occupation. They are often regulated by Sector Education and Training Authorities (SETAs) and are a cornerstone of skills development in South Africa. For example, the National Skills Development Plan (NSDP) emphasizes apprenticeships as a key mechanism for addressing skills shortages. </w:t>
      </w:r>
    </w:p>
    <w:p w14:paraId="24E933CA" w14:textId="7E0FC0B3"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Learnerships</w:t>
      </w:r>
      <w:r w:rsidRPr="006E415E">
        <w:rPr>
          <w:rFonts w:ascii="Bookman Old Style" w:hAnsi="Bookman Old Style" w:cs="Segoe UI Light"/>
          <w:bCs/>
          <w:sz w:val="24"/>
          <w:lang w:val="en-GB"/>
        </w:rPr>
        <w:t xml:space="preserve"> are work-based learning programs that lead to a registered qualification on the National Qualifications Framework (NQF). They are designed to address specific skills needs within industries and involve both structured learning and practical work experience. Learnerships are often funded by SETAs and can be a pathway to employment for unemployed individuals or upskilling for existing employees. </w:t>
      </w:r>
    </w:p>
    <w:p w14:paraId="58EE7C9E" w14:textId="0D439C77"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Internships</w:t>
      </w:r>
      <w:r w:rsidRPr="006E415E">
        <w:rPr>
          <w:rFonts w:ascii="Bookman Old Style" w:hAnsi="Bookman Old Style" w:cs="Segoe UI Light"/>
          <w:bCs/>
          <w:sz w:val="24"/>
          <w:lang w:val="en-GB"/>
        </w:rPr>
        <w:t> provide practical work experience in a professional environment, typically for a fixed period. They are often undertaken by students or recent graduates to gain industry exposure and develop professional skills. While some internships are unpaid, many companies offer stipends or salaries, especially for longer-term programs. The Department of Higher Education and Training (DHET) encourages internships as a way to enhance graduate employability.</w:t>
      </w:r>
      <w:r w:rsidRPr="006E415E">
        <w:rPr>
          <w:rFonts w:ascii="Bookman Old Style" w:hAnsi="Bookman Old Style" w:cs="Segoe UI Light"/>
          <w:b/>
          <w:bCs/>
          <w:sz w:val="24"/>
          <w:lang w:val="en-GB"/>
        </w:rPr>
        <w:t xml:space="preserve"> Practical Placements</w:t>
      </w:r>
      <w:r w:rsidRPr="006E415E">
        <w:rPr>
          <w:rFonts w:ascii="Bookman Old Style" w:hAnsi="Bookman Old Style" w:cs="Segoe UI Light"/>
          <w:bCs/>
          <w:sz w:val="24"/>
          <w:lang w:val="en-GB"/>
        </w:rPr>
        <w:t xml:space="preserve"> are often integrated into academic programs, particularly in fields like engineering, health sciences, and education. These placements allow students to apply theoretical knowledge in real-world settings under supervision. Universities and TVET colleges frequently partner with industries to facilitate these placements, which are essential for meeting qualification requirements. </w:t>
      </w:r>
    </w:p>
    <w:p w14:paraId="3BDE8C49" w14:textId="77777777" w:rsidR="006E415E" w:rsidRPr="006E415E" w:rsidRDefault="006E415E" w:rsidP="006E415E">
      <w:pPr>
        <w:spacing w:line="360" w:lineRule="auto"/>
        <w:rPr>
          <w:rFonts w:ascii="Bookman Old Style" w:hAnsi="Bookman Old Style" w:cs="Segoe UI Light"/>
          <w:b/>
          <w:bCs/>
          <w:sz w:val="24"/>
          <w:lang w:val="en-GB"/>
        </w:rPr>
      </w:pPr>
      <w:r w:rsidRPr="006E415E">
        <w:rPr>
          <w:rFonts w:ascii="Bookman Old Style" w:hAnsi="Bookman Old Style" w:cs="Segoe UI Light"/>
          <w:b/>
          <w:bCs/>
          <w:sz w:val="24"/>
          <w:lang w:val="en-GB"/>
        </w:rPr>
        <w:t>Application Process for Work-Based Learning in South Africa</w:t>
      </w:r>
    </w:p>
    <w:p w14:paraId="33F8206C" w14:textId="5F52CD34"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lang w:val="en-GB"/>
        </w:rPr>
        <w:t>The application process for work-based learning opportunities in South Africa generally follows a structured approach:</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 xml:space="preserve">Identification of </w:t>
      </w:r>
      <w:r w:rsidRPr="006E415E">
        <w:rPr>
          <w:rFonts w:ascii="Bookman Old Style" w:hAnsi="Bookman Old Style" w:cs="Segoe UI Light"/>
          <w:b/>
          <w:bCs/>
          <w:sz w:val="24"/>
          <w:lang w:val="en-GB"/>
        </w:rPr>
        <w:lastRenderedPageBreak/>
        <w:t>Opportunities:</w:t>
      </w:r>
      <w:r w:rsidRPr="006E415E">
        <w:rPr>
          <w:rFonts w:ascii="Bookman Old Style" w:hAnsi="Bookman Old Style" w:cs="Segoe UI Light"/>
          <w:bCs/>
          <w:sz w:val="24"/>
          <w:lang w:val="en-GB"/>
        </w:rPr>
        <w:t> Individuals typically begin by researching available apprenticeships, learnerships, internships, or practical placements. This can be done through various channels, including SETA websites, company career pages, job portals (e.g., </w:t>
      </w:r>
      <w:proofErr w:type="spellStart"/>
      <w:r w:rsidRPr="006E415E">
        <w:rPr>
          <w:rFonts w:ascii="Bookman Old Style" w:hAnsi="Bookman Old Style" w:cs="Segoe UI Light"/>
          <w:bCs/>
          <w:sz w:val="24"/>
          <w:lang w:val="en-GB"/>
        </w:rPr>
        <w:fldChar w:fldCharType="begin"/>
      </w:r>
      <w:r w:rsidRPr="006E415E">
        <w:rPr>
          <w:rFonts w:ascii="Bookman Old Style" w:hAnsi="Bookman Old Style" w:cs="Segoe UI Light"/>
          <w:bCs/>
          <w:sz w:val="24"/>
          <w:lang w:val="en-GB"/>
        </w:rPr>
        <w:instrText xml:space="preserve"> HYPERLINK "https://www.pnet.co.za/" </w:instrText>
      </w:r>
      <w:r w:rsidRPr="006E415E">
        <w:rPr>
          <w:rFonts w:ascii="Bookman Old Style" w:hAnsi="Bookman Old Style" w:cs="Segoe UI Light"/>
          <w:bCs/>
          <w:sz w:val="24"/>
          <w:lang w:val="en-GB"/>
        </w:rPr>
        <w:fldChar w:fldCharType="separate"/>
      </w:r>
      <w:r w:rsidRPr="006E415E">
        <w:rPr>
          <w:rStyle w:val="Hyperlink"/>
          <w:rFonts w:ascii="Bookman Old Style" w:hAnsi="Bookman Old Style" w:cs="Segoe UI Light"/>
          <w:bCs/>
          <w:sz w:val="24"/>
          <w:lang w:val="en-GB"/>
        </w:rPr>
        <w:t>Pnet</w:t>
      </w:r>
      <w:proofErr w:type="spellEnd"/>
      <w:r w:rsidRPr="006E415E">
        <w:rPr>
          <w:rFonts w:ascii="Bookman Old Style" w:hAnsi="Bookman Old Style" w:cs="Segoe UI Light"/>
          <w:bCs/>
          <w:sz w:val="24"/>
          <w:lang w:val="en-GB"/>
        </w:rPr>
        <w:fldChar w:fldCharType="end"/>
      </w:r>
      <w:r w:rsidRPr="006E415E">
        <w:rPr>
          <w:rFonts w:ascii="Bookman Old Style" w:hAnsi="Bookman Old Style" w:cs="Segoe UI Light"/>
          <w:bCs/>
          <w:sz w:val="24"/>
          <w:lang w:val="en-GB"/>
        </w:rPr>
        <w:t>, </w:t>
      </w:r>
      <w:hyperlink r:id="rId13" w:history="1">
        <w:r w:rsidRPr="006E415E">
          <w:rPr>
            <w:rStyle w:val="Hyperlink"/>
            <w:rFonts w:ascii="Bookman Old Style" w:hAnsi="Bookman Old Style" w:cs="Segoe UI Light"/>
            <w:bCs/>
            <w:sz w:val="24"/>
            <w:lang w:val="en-GB"/>
          </w:rPr>
          <w:t>Careers24</w:t>
        </w:r>
      </w:hyperlink>
      <w:r w:rsidRPr="006E415E">
        <w:rPr>
          <w:rFonts w:ascii="Bookman Old Style" w:hAnsi="Bookman Old Style" w:cs="Segoe UI Light"/>
          <w:bCs/>
          <w:sz w:val="24"/>
          <w:lang w:val="en-GB"/>
        </w:rPr>
        <w:t xml:space="preserve">), and university career </w:t>
      </w:r>
      <w:proofErr w:type="spellStart"/>
      <w:r w:rsidRPr="006E415E">
        <w:rPr>
          <w:rFonts w:ascii="Bookman Old Style" w:hAnsi="Bookman Old Style" w:cs="Segoe UI Light"/>
          <w:bCs/>
          <w:sz w:val="24"/>
          <w:lang w:val="en-GB"/>
        </w:rPr>
        <w:t>centers</w:t>
      </w:r>
      <w:proofErr w:type="spellEnd"/>
      <w:r w:rsidRPr="006E415E">
        <w:rPr>
          <w:rFonts w:ascii="Bookman Old Style" w:hAnsi="Bookman Old Style" w:cs="Segoe UI Light"/>
          <w:bCs/>
          <w:sz w:val="24"/>
          <w:lang w:val="en-GB"/>
        </w:rPr>
        <w:t xml:space="preserve">. Government initiatives and programs, such as those promoted by the Department of Employment and Labour, also list relevant opportunities.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Meeting Eligibility Criteria:</w:t>
      </w:r>
      <w:r w:rsidRPr="006E415E">
        <w:rPr>
          <w:rFonts w:ascii="Bookman Old Style" w:hAnsi="Bookman Old Style" w:cs="Segoe UI Light"/>
          <w:bCs/>
          <w:sz w:val="24"/>
          <w:lang w:val="en-GB"/>
        </w:rPr>
        <w:t xml:space="preserve"> Each WBL program has specific eligibility requirements, which may include educational qualifications, age limits, and sometimes prior work experience. Applicants must ensure they meet these criteria before proceeding. For instance, many learnerships require a matric certificate, while apprenticeships might require specific NQF levels in relevant subjects. </w:t>
      </w:r>
    </w:p>
    <w:p w14:paraId="68D90560" w14:textId="6ECF5B6E"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Application Submission:</w:t>
      </w:r>
      <w:r w:rsidRPr="006E415E">
        <w:rPr>
          <w:rFonts w:ascii="Bookman Old Style" w:hAnsi="Bookman Old Style" w:cs="Segoe UI Light"/>
          <w:bCs/>
          <w:sz w:val="24"/>
          <w:lang w:val="en-GB"/>
        </w:rPr>
        <w:t> The application typically involves submitting a curriculum vitae (CV), cover letter, academic transcripts, and sometimes references. Many organizations now use online application systems. It is crucial to tailor the application to the specific opportunity, highlighting relevant skills and experiences.</w:t>
      </w:r>
      <w:r w:rsidRPr="006E415E">
        <w:rPr>
          <w:rFonts w:ascii="Bookman Old Style" w:hAnsi="Bookman Old Style" w:cs="Segoe UI Light"/>
          <w:b/>
          <w:bCs/>
          <w:sz w:val="24"/>
          <w:lang w:val="en-GB"/>
        </w:rPr>
        <w:t xml:space="preserve"> Assessment and Interviews:</w:t>
      </w:r>
      <w:r w:rsidRPr="006E415E">
        <w:rPr>
          <w:rFonts w:ascii="Bookman Old Style" w:hAnsi="Bookman Old Style" w:cs="Segoe UI Light"/>
          <w:bCs/>
          <w:sz w:val="24"/>
          <w:lang w:val="en-GB"/>
        </w:rPr>
        <w:t> Shortlisted candidates are often invited for assessments, which may include aptitude tests, technical evaluations, or practical tasks. This is usually followed by one or more interviews, where candidates can demonstrate their suitability for the role and the organization.</w:t>
      </w:r>
      <w:r w:rsidRPr="006E415E">
        <w:rPr>
          <w:rFonts w:ascii="Bookman Old Style" w:hAnsi="Bookman Old Style" w:cs="Segoe UI Light"/>
          <w:b/>
          <w:bCs/>
          <w:sz w:val="24"/>
          <w:lang w:val="en-GB"/>
        </w:rPr>
        <w:t xml:space="preserve"> Selection and Placement:</w:t>
      </w:r>
      <w:r w:rsidRPr="006E415E">
        <w:rPr>
          <w:rFonts w:ascii="Bookman Old Style" w:hAnsi="Bookman Old Style" w:cs="Segoe UI Light"/>
          <w:bCs/>
          <w:sz w:val="24"/>
          <w:lang w:val="en-GB"/>
        </w:rPr>
        <w:t> Successful candidates are offered a position. This stage involves signing a contract or agreement that outlines the terms and conditions of the WBL program, including duration, remuneration (if applicable), and learning objectives. For learnerships and apprenticeships, this often involves registration with the relevant SETA.</w:t>
      </w:r>
      <w:r w:rsidRPr="006E415E">
        <w:rPr>
          <w:rFonts w:ascii="Bookman Old Style" w:hAnsi="Bookman Old Style" w:cs="Segoe UI Light"/>
          <w:b/>
          <w:bCs/>
          <w:sz w:val="24"/>
          <w:lang w:val="en-GB"/>
        </w:rPr>
        <w:t xml:space="preserve"> Program Participation:</w:t>
      </w:r>
      <w:r w:rsidRPr="006E415E">
        <w:rPr>
          <w:rFonts w:ascii="Bookman Old Style" w:hAnsi="Bookman Old Style" w:cs="Segoe UI Light"/>
          <w:bCs/>
          <w:sz w:val="24"/>
          <w:lang w:val="en-GB"/>
        </w:rPr>
        <w:t> </w:t>
      </w:r>
    </w:p>
    <w:p w14:paraId="75A2BA7A" w14:textId="23F37F54" w:rsidR="006E415E" w:rsidRPr="006E415E" w:rsidRDefault="006E415E" w:rsidP="00CD0FBA">
      <w:pPr>
        <w:spacing w:line="360" w:lineRule="auto"/>
        <w:rPr>
          <w:rFonts w:ascii="Bookman Old Style" w:hAnsi="Bookman Old Style" w:cs="Segoe UI Light"/>
          <w:b/>
          <w:i/>
          <w:iCs/>
          <w:sz w:val="24"/>
          <w:lang w:val="en-GB"/>
        </w:rPr>
      </w:pPr>
      <w:r w:rsidRPr="006E415E">
        <w:rPr>
          <w:rFonts w:ascii="Bookman Old Style" w:hAnsi="Bookman Old Style" w:cs="Segoe UI Light"/>
          <w:b/>
          <w:i/>
          <w:iCs/>
          <w:sz w:val="24"/>
          <w:lang w:val="en-GB"/>
        </w:rPr>
        <w:t>Scheduling principles are explained for learning interventions that must be integrated with a production environment</w:t>
      </w:r>
    </w:p>
    <w:p w14:paraId="61666B4A" w14:textId="392D69DE" w:rsidR="006E415E" w:rsidRDefault="006E415E" w:rsidP="00CD0FBA">
      <w:pPr>
        <w:spacing w:line="360" w:lineRule="auto"/>
        <w:rPr>
          <w:rFonts w:ascii="Bookman Old Style" w:hAnsi="Bookman Old Style" w:cs="Segoe UI Light"/>
          <w:bCs/>
          <w:sz w:val="24"/>
          <w:lang w:val="en-GB"/>
        </w:rPr>
      </w:pPr>
      <w:r w:rsidRPr="006E415E">
        <w:rPr>
          <w:rFonts w:ascii="Bookman Old Style" w:hAnsi="Bookman Old Style" w:cs="Segoe UI Light"/>
          <w:bCs/>
          <w:sz w:val="24"/>
        </w:rPr>
        <w:t xml:space="preserve">Scheduling principles for learning interventions integrated with a production environment, as discussed in "Planning and scheduling work-based learning in Work based learning in South Africa," focus on optimizing the learning experience while minimizing disruption to operational efficiency. The core idea is to create a </w:t>
      </w:r>
      <w:r w:rsidRPr="006E415E">
        <w:rPr>
          <w:rFonts w:ascii="Bookman Old Style" w:hAnsi="Bookman Old Style" w:cs="Segoe UI Light"/>
          <w:bCs/>
          <w:sz w:val="24"/>
        </w:rPr>
        <w:lastRenderedPageBreak/>
        <w:t>symbiotic relationship where learning enhances productivity and the production environment provides rich learning opportunities</w:t>
      </w:r>
      <w:r>
        <w:rPr>
          <w:rFonts w:ascii="Bookman Old Style" w:hAnsi="Bookman Old Style" w:cs="Segoe UI Light"/>
          <w:bCs/>
          <w:sz w:val="24"/>
        </w:rPr>
        <w:t>.</w:t>
      </w:r>
    </w:p>
    <w:p w14:paraId="7BAF80AB" w14:textId="77777777"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Key scheduling principles include:</w:t>
      </w:r>
    </w:p>
    <w:p w14:paraId="5FB47E59" w14:textId="2CA347CE"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Integration with Production Cycles:</w:t>
      </w:r>
      <w:r w:rsidRPr="006E415E">
        <w:rPr>
          <w:rFonts w:ascii="Bookman Old Style" w:hAnsi="Bookman Old Style" w:cs="Segoe UI Light"/>
          <w:bCs/>
          <w:sz w:val="24"/>
          <w:lang w:val="en-GB"/>
        </w:rPr>
        <w:t> Learning activities should be aligned with the natural rhythms and demands of the production environment. This means scheduling training during off-peak hours, downtime, or when specific tasks are being performed that directly relate to the learning objectives . For example, maintenance training might be scheduled during planned equipment shutdowns, or quality control training during specific inspection phases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Flexibility and Adaptability:</w:t>
      </w:r>
      <w:r w:rsidRPr="006E415E">
        <w:rPr>
          <w:rFonts w:ascii="Bookman Old Style" w:hAnsi="Bookman Old Style" w:cs="Segoe UI Light"/>
          <w:bCs/>
          <w:sz w:val="24"/>
          <w:lang w:val="en-GB"/>
        </w:rPr>
        <w:t> Production environments are dynamic, and schedules can change unexpectedly. Learning schedules must be flexible enough to accommodate these changes without compromising learning outcomes or production targets . This might involve modular learning units that can be rearranged, or on-demand access to learning resources .</w:t>
      </w:r>
    </w:p>
    <w:p w14:paraId="4B109649" w14:textId="3353A625"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Minimizing Disruption:</w:t>
      </w:r>
      <w:r w:rsidRPr="006E415E">
        <w:rPr>
          <w:rFonts w:ascii="Bookman Old Style" w:hAnsi="Bookman Old Style" w:cs="Segoe UI Light"/>
          <w:bCs/>
          <w:sz w:val="24"/>
          <w:lang w:val="en-GB"/>
        </w:rPr>
        <w:t> The primary goal is to ensure that learning interventions do not negatively impact productivity or output. This can be achieved through careful planning, efficient resource allocation, and the use of blended learning approaches that combine on-the-job training with off-the-job theoretical instruction . For instance, theoretical components could be delivered online or in short, focused sessions, while practical application occurs during regular work tasks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Optimizing Resource Utilization:</w:t>
      </w:r>
      <w:r w:rsidRPr="006E415E">
        <w:rPr>
          <w:rFonts w:ascii="Bookman Old Style" w:hAnsi="Bookman Old Style" w:cs="Segoe UI Light"/>
          <w:bCs/>
          <w:sz w:val="24"/>
          <w:lang w:val="en-GB"/>
        </w:rPr>
        <w:t> This principle involves making the best use of available resources, including trainers, equipment, and learning materials. Scheduling should consider the availability of these resources and aim to maximize their utilization across different learning interventions . This can also involve cross-training employees to act as mentors or facilitators, thereby leveraging internal expertise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Learner-Centric Approach:</w:t>
      </w:r>
      <w:r w:rsidRPr="006E415E">
        <w:rPr>
          <w:rFonts w:ascii="Bookman Old Style" w:hAnsi="Bookman Old Style" w:cs="Segoe UI Light"/>
          <w:bCs/>
          <w:sz w:val="24"/>
          <w:lang w:val="en-GB"/>
        </w:rPr>
        <w:t> While production demands are crucial, the learning needs and preferences of the individuals must also be considered. Scheduling should allow for sufficient time for learning, practice, and reflection, and ideally offer some degree of choice or customization to learners where possible . This can improve engagement and retention of knowledge and skills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 xml:space="preserve">Phased </w:t>
      </w:r>
      <w:r w:rsidRPr="006E415E">
        <w:rPr>
          <w:rFonts w:ascii="Bookman Old Style" w:hAnsi="Bookman Old Style" w:cs="Segoe UI Light"/>
          <w:b/>
          <w:bCs/>
          <w:sz w:val="24"/>
          <w:lang w:val="en-GB"/>
        </w:rPr>
        <w:lastRenderedPageBreak/>
        <w:t>Implementation:</w:t>
      </w:r>
      <w:r w:rsidRPr="006E415E">
        <w:rPr>
          <w:rFonts w:ascii="Bookman Old Style" w:hAnsi="Bookman Old Style" w:cs="Segoe UI Light"/>
          <w:bCs/>
          <w:sz w:val="24"/>
          <w:lang w:val="en-GB"/>
        </w:rPr>
        <w:t> For complex learning interventions, a phased approach to scheduling can be beneficial. This allows for pilot programs, feedback collection, and adjustments before full-scale implementation, reducing risks and improving effectiveness .</w:t>
      </w:r>
      <w:r>
        <w:rPr>
          <w:rFonts w:ascii="Bookman Old Style" w:hAnsi="Bookman Old Style" w:cs="Segoe UI Light"/>
          <w:bCs/>
          <w:sz w:val="24"/>
          <w:lang w:val="en-GB"/>
        </w:rPr>
        <w:t xml:space="preserve"> </w:t>
      </w:r>
      <w:r w:rsidRPr="006E415E">
        <w:rPr>
          <w:rFonts w:ascii="Bookman Old Style" w:hAnsi="Bookman Old Style" w:cs="Segoe UI Light"/>
          <w:b/>
          <w:bCs/>
          <w:sz w:val="24"/>
          <w:lang w:val="en-GB"/>
        </w:rPr>
        <w:t>Clear Communication and Coordination:</w:t>
      </w:r>
      <w:r w:rsidRPr="006E415E">
        <w:rPr>
          <w:rFonts w:ascii="Bookman Old Style" w:hAnsi="Bookman Old Style" w:cs="Segoe UI Light"/>
          <w:bCs/>
          <w:sz w:val="24"/>
          <w:lang w:val="en-GB"/>
        </w:rPr>
        <w:t> Effective scheduling relies heavily on clear communication between all stakeholders, including management, supervisors, trainers, and learners. This ensures everyone is aware of the schedule, their roles, and any potential impacts on production . Regular coordination meetings can help address any emerging issues </w:t>
      </w:r>
      <w:r>
        <w:rPr>
          <w:rFonts w:ascii="Bookman Old Style" w:hAnsi="Bookman Old Style" w:cs="Segoe UI Light"/>
          <w:bCs/>
          <w:sz w:val="24"/>
          <w:lang w:val="en-GB"/>
        </w:rPr>
        <w:t>.</w:t>
      </w:r>
      <w:r w:rsidRPr="006E415E">
        <w:rPr>
          <w:rFonts w:ascii="Bookman Old Style" w:hAnsi="Bookman Old Style" w:cs="Segoe UI Light"/>
          <w:b/>
          <w:bCs/>
          <w:sz w:val="24"/>
          <w:lang w:val="en-GB"/>
        </w:rPr>
        <w:t>Performance Monitoring and Evaluation:</w:t>
      </w:r>
      <w:r w:rsidRPr="006E415E">
        <w:rPr>
          <w:rFonts w:ascii="Bookman Old Style" w:hAnsi="Bookman Old Style" w:cs="Segoe UI Light"/>
          <w:bCs/>
          <w:sz w:val="24"/>
          <w:lang w:val="en-GB"/>
        </w:rPr>
        <w:t> The impact of scheduled learning interventions on both learning outcomes and production efficiency should be continuously monitored and evaluated. This data can then be used to refine future scheduling strategies and improve the overall effectiveness of work-based learning. Metrics might include production output, error rates, and learner competency assessments</w:t>
      </w:r>
    </w:p>
    <w:p w14:paraId="6CB2B491" w14:textId="77777777" w:rsidR="006E415E" w:rsidRPr="00CD0FBA" w:rsidRDefault="006E415E" w:rsidP="00CD0FBA">
      <w:pPr>
        <w:spacing w:line="360" w:lineRule="auto"/>
        <w:rPr>
          <w:rFonts w:ascii="Bookman Old Style" w:hAnsi="Bookman Old Style" w:cs="Segoe UI Light"/>
          <w:bCs/>
          <w:sz w:val="24"/>
          <w:lang w:val="en-GB"/>
        </w:rPr>
      </w:pPr>
    </w:p>
    <w:p w14:paraId="66660CF6" w14:textId="77777777" w:rsidR="00C45200" w:rsidRPr="00C45200" w:rsidRDefault="00C45200" w:rsidP="00C45200">
      <w:pPr>
        <w:spacing w:line="360" w:lineRule="auto"/>
        <w:rPr>
          <w:rFonts w:ascii="Bookman Old Style" w:hAnsi="Bookman Old Style" w:cs="Segoe UI Light"/>
          <w:b/>
          <w:i/>
          <w:iCs/>
          <w:sz w:val="24"/>
          <w:lang w:val="en-GB"/>
        </w:rPr>
      </w:pPr>
      <w:r w:rsidRPr="00C45200">
        <w:rPr>
          <w:rFonts w:ascii="Bookman Old Style" w:hAnsi="Bookman Old Style" w:cs="Segoe UI Light"/>
          <w:b/>
          <w:i/>
          <w:iCs/>
          <w:sz w:val="24"/>
          <w:lang w:val="en-GB"/>
        </w:rPr>
        <w:t xml:space="preserve">Internal Assessment Criteria and Weight </w:t>
      </w:r>
    </w:p>
    <w:p w14:paraId="740C142D" w14:textId="59A1E396" w:rsidR="00C45200" w:rsidRP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IAC0201 Work based learning opportunities are listed and their application explained </w:t>
      </w:r>
    </w:p>
    <w:p w14:paraId="549C2324" w14:textId="18F7AAE2" w:rsidR="00C45200" w:rsidRP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IAC0202 Scheduling principles are explained for learning interventions that must be integrated with a production environment </w:t>
      </w:r>
    </w:p>
    <w:p w14:paraId="5813E218" w14:textId="04FCF625" w:rsidR="006367F8" w:rsidRPr="00380609" w:rsidRDefault="00C45200" w:rsidP="00C45200">
      <w:pPr>
        <w:spacing w:line="360" w:lineRule="auto"/>
        <w:rPr>
          <w:rFonts w:ascii="Bookman Old Style" w:hAnsi="Bookman Old Style" w:cs="Segoe UI Light"/>
          <w:bCs/>
          <w:sz w:val="24"/>
          <w:lang w:val="en-GB"/>
        </w:rPr>
      </w:pPr>
      <w:r w:rsidRPr="00C45200">
        <w:rPr>
          <w:rFonts w:ascii="Bookman Old Style" w:hAnsi="Bookman Old Style" w:cs="Segoe UI Light"/>
          <w:b/>
          <w:i/>
          <w:iCs/>
          <w:sz w:val="24"/>
          <w:lang w:val="en-GB"/>
        </w:rPr>
        <w:t>(Weight 20%)</w:t>
      </w:r>
    </w:p>
    <w:p w14:paraId="53EB8237" w14:textId="77777777" w:rsidR="006367F8" w:rsidRPr="00380609" w:rsidRDefault="006367F8" w:rsidP="005B1D66">
      <w:pPr>
        <w:spacing w:line="360" w:lineRule="auto"/>
        <w:rPr>
          <w:rFonts w:ascii="Bookman Old Style" w:hAnsi="Bookman Old Style" w:cs="Segoe UI Light"/>
          <w:bCs/>
          <w:sz w:val="24"/>
          <w:lang w:val="en-GB"/>
        </w:rPr>
      </w:pPr>
    </w:p>
    <w:p w14:paraId="6B1AC529" w14:textId="777BA9A7" w:rsidR="006367F8" w:rsidRDefault="006367F8" w:rsidP="005B1D66">
      <w:pPr>
        <w:spacing w:line="360" w:lineRule="auto"/>
        <w:rPr>
          <w:rFonts w:ascii="Bookman Old Style" w:hAnsi="Bookman Old Style" w:cs="Segoe UI Light"/>
          <w:bCs/>
          <w:sz w:val="24"/>
          <w:lang w:val="en-GB"/>
        </w:rPr>
      </w:pPr>
    </w:p>
    <w:p w14:paraId="5E285F0E" w14:textId="4DD391CC" w:rsidR="00C45200" w:rsidRDefault="00C45200" w:rsidP="005B1D66">
      <w:pPr>
        <w:spacing w:line="360" w:lineRule="auto"/>
        <w:rPr>
          <w:rFonts w:ascii="Bookman Old Style" w:hAnsi="Bookman Old Style" w:cs="Segoe UI Light"/>
          <w:bCs/>
          <w:sz w:val="24"/>
          <w:lang w:val="en-GB"/>
        </w:rPr>
      </w:pPr>
    </w:p>
    <w:p w14:paraId="488D26A9" w14:textId="4C42E574" w:rsidR="00C45200" w:rsidRDefault="00C45200" w:rsidP="005B1D66">
      <w:pPr>
        <w:spacing w:line="360" w:lineRule="auto"/>
        <w:rPr>
          <w:rFonts w:ascii="Bookman Old Style" w:hAnsi="Bookman Old Style" w:cs="Segoe UI Light"/>
          <w:bCs/>
          <w:sz w:val="24"/>
          <w:lang w:val="en-GB"/>
        </w:rPr>
      </w:pPr>
    </w:p>
    <w:p w14:paraId="3D69669C" w14:textId="64EAD344" w:rsidR="00C45200" w:rsidRDefault="00C45200" w:rsidP="005B1D66">
      <w:pPr>
        <w:spacing w:line="360" w:lineRule="auto"/>
        <w:rPr>
          <w:rFonts w:ascii="Bookman Old Style" w:hAnsi="Bookman Old Style" w:cs="Segoe UI Light"/>
          <w:bCs/>
          <w:sz w:val="24"/>
          <w:lang w:val="en-GB"/>
        </w:rPr>
      </w:pPr>
    </w:p>
    <w:p w14:paraId="1FB7C254" w14:textId="33CF78BC" w:rsidR="00C45200" w:rsidRDefault="00C45200" w:rsidP="005B1D66">
      <w:pPr>
        <w:spacing w:line="360" w:lineRule="auto"/>
        <w:rPr>
          <w:rFonts w:ascii="Bookman Old Style" w:hAnsi="Bookman Old Style" w:cs="Segoe UI Light"/>
          <w:bCs/>
          <w:sz w:val="24"/>
          <w:lang w:val="en-GB"/>
        </w:rPr>
      </w:pPr>
    </w:p>
    <w:p w14:paraId="3957A0D6" w14:textId="5A02F1A8" w:rsidR="00C45200" w:rsidRDefault="00C45200" w:rsidP="005B1D66">
      <w:pPr>
        <w:spacing w:line="360" w:lineRule="auto"/>
        <w:rPr>
          <w:rFonts w:ascii="Bookman Old Style" w:hAnsi="Bookman Old Style" w:cs="Segoe UI Light"/>
          <w:bCs/>
          <w:sz w:val="24"/>
          <w:lang w:val="en-GB"/>
        </w:rPr>
      </w:pPr>
    </w:p>
    <w:p w14:paraId="3DFDA76D" w14:textId="59421BE0" w:rsidR="00C45200" w:rsidRDefault="00C45200" w:rsidP="005B1D66">
      <w:pPr>
        <w:spacing w:line="360" w:lineRule="auto"/>
        <w:rPr>
          <w:rFonts w:ascii="Bookman Old Style" w:hAnsi="Bookman Old Style" w:cs="Segoe UI Light"/>
          <w:bCs/>
          <w:sz w:val="24"/>
          <w:lang w:val="en-GB"/>
        </w:rPr>
      </w:pPr>
    </w:p>
    <w:p w14:paraId="27C4B5E2" w14:textId="77777777" w:rsidR="00C45200" w:rsidRPr="00380609" w:rsidRDefault="00C45200" w:rsidP="005B1D66">
      <w:pPr>
        <w:spacing w:line="360" w:lineRule="auto"/>
        <w:rPr>
          <w:rFonts w:ascii="Bookman Old Style" w:hAnsi="Bookman Old Style" w:cs="Segoe UI Light"/>
          <w:bCs/>
          <w:sz w:val="24"/>
          <w:lang w:val="en-GB"/>
        </w:rPr>
      </w:pPr>
    </w:p>
    <w:p w14:paraId="4EB52F08" w14:textId="781D1A96" w:rsidR="00170710" w:rsidRPr="009656CE" w:rsidRDefault="00C45200" w:rsidP="005B1D66">
      <w:pPr>
        <w:pStyle w:val="Heading1"/>
        <w:numPr>
          <w:ilvl w:val="0"/>
          <w:numId w:val="0"/>
        </w:numPr>
        <w:spacing w:line="360" w:lineRule="auto"/>
        <w:rPr>
          <w:rFonts w:ascii="Bookman Old Style" w:hAnsi="Bookman Old Style"/>
          <w:sz w:val="24"/>
          <w:szCs w:val="24"/>
        </w:rPr>
      </w:pPr>
      <w:bookmarkStart w:id="13" w:name="_Toc211698283"/>
      <w:r w:rsidRPr="00C45200">
        <w:rPr>
          <w:rFonts w:ascii="Bookman Old Style" w:hAnsi="Bookman Old Style"/>
          <w:sz w:val="24"/>
          <w:szCs w:val="24"/>
        </w:rPr>
        <w:lastRenderedPageBreak/>
        <w:t>KM-07-KT03: Facilitation of work-based learning (30%)</w:t>
      </w:r>
      <w:bookmarkEnd w:id="13"/>
    </w:p>
    <w:p w14:paraId="65AAB694" w14:textId="77777777" w:rsidR="00C45200" w:rsidRPr="00C45200" w:rsidRDefault="00C45200" w:rsidP="00C45200">
      <w:pPr>
        <w:spacing w:line="360" w:lineRule="auto"/>
        <w:rPr>
          <w:rFonts w:ascii="Bookman Old Style" w:hAnsi="Bookman Old Style" w:cs="Segoe UI Light"/>
          <w:b/>
          <w:sz w:val="24"/>
          <w:lang w:val="en-GB"/>
        </w:rPr>
      </w:pPr>
      <w:r w:rsidRPr="00C45200">
        <w:rPr>
          <w:rFonts w:ascii="Bookman Old Style" w:hAnsi="Bookman Old Style" w:cs="Segoe UI Light"/>
          <w:b/>
          <w:sz w:val="24"/>
          <w:lang w:val="en-GB"/>
        </w:rPr>
        <w:t xml:space="preserve">Topic elements to be covered include: </w:t>
      </w:r>
    </w:p>
    <w:p w14:paraId="612B271A" w14:textId="5BC54309" w:rsidR="00C45200" w:rsidRP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KT0301 Coaching principles and practices </w:t>
      </w:r>
    </w:p>
    <w:p w14:paraId="4F87FA65" w14:textId="4A05831B" w:rsidR="00C45200" w:rsidRP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KT0302 Mentorship principles and practices </w:t>
      </w:r>
    </w:p>
    <w:p w14:paraId="2E9DC863" w14:textId="2B19B767" w:rsid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KT0303 Job instruction principles and practices </w:t>
      </w:r>
    </w:p>
    <w:p w14:paraId="149DBBB8" w14:textId="5C2E3D84" w:rsidR="006E415E" w:rsidRDefault="006E415E" w:rsidP="006E415E">
      <w:pPr>
        <w:spacing w:line="360" w:lineRule="auto"/>
        <w:rPr>
          <w:rFonts w:ascii="Bookman Old Style" w:hAnsi="Bookman Old Style" w:cs="Segoe UI Light"/>
          <w:bCs/>
          <w:sz w:val="24"/>
          <w:lang w:val="en-GB"/>
        </w:rPr>
      </w:pPr>
    </w:p>
    <w:p w14:paraId="6A5121F8" w14:textId="41BA1BC0" w:rsidR="006E415E" w:rsidRPr="006E415E" w:rsidRDefault="006E415E" w:rsidP="006E415E">
      <w:pPr>
        <w:spacing w:line="360" w:lineRule="auto"/>
        <w:rPr>
          <w:rFonts w:ascii="Bookman Old Style" w:hAnsi="Bookman Old Style" w:cs="Segoe UI Light"/>
          <w:b/>
          <w:sz w:val="24"/>
          <w:u w:val="single"/>
          <w:lang w:val="en-GB"/>
        </w:rPr>
      </w:pPr>
      <w:r w:rsidRPr="006E415E">
        <w:rPr>
          <w:rFonts w:ascii="Bookman Old Style" w:hAnsi="Bookman Old Style" w:cs="Segoe UI Light"/>
          <w:b/>
          <w:sz w:val="24"/>
          <w:u w:val="single"/>
          <w:lang w:val="en-GB"/>
        </w:rPr>
        <w:t xml:space="preserve">KT0301 Coaching principles and practices </w:t>
      </w:r>
    </w:p>
    <w:p w14:paraId="1BC75FD5" w14:textId="75C65E43"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rPr>
        <w:t>Work-based learning (WBL) is a pedagogical approach that integrates classroom instruction with practical, on-the-job experiences, allowing students to apply theoretical knowledge in real-world settings and develop essential skills for their future careers . The facilitation of WBL in South Africa, as in other regions, benefits from established coaching principles and practices that ensure high-quality and equitable outcomes for participants</w:t>
      </w:r>
      <w:r>
        <w:rPr>
          <w:rFonts w:ascii="Bookman Old Style" w:hAnsi="Bookman Old Style" w:cs="Segoe UI Light"/>
          <w:bCs/>
          <w:sz w:val="24"/>
        </w:rPr>
        <w:t>.</w:t>
      </w:r>
    </w:p>
    <w:p w14:paraId="382C0709" w14:textId="77777777" w:rsidR="006E415E" w:rsidRPr="006E415E" w:rsidRDefault="006E415E" w:rsidP="006E415E">
      <w:pPr>
        <w:numPr>
          <w:ilvl w:val="0"/>
          <w:numId w:val="25"/>
        </w:numPr>
        <w:tabs>
          <w:tab w:val="num" w:pos="360"/>
        </w:tabs>
        <w:spacing w:line="360" w:lineRule="auto"/>
        <w:rPr>
          <w:rFonts w:ascii="Bookman Old Style" w:hAnsi="Bookman Old Style" w:cs="Segoe UI Light"/>
          <w:b/>
          <w:bCs/>
          <w:sz w:val="24"/>
          <w:lang w:val="en-GB"/>
        </w:rPr>
      </w:pPr>
      <w:r w:rsidRPr="006E415E">
        <w:rPr>
          <w:rFonts w:ascii="Bookman Old Style" w:hAnsi="Bookman Old Style" w:cs="Segoe UI Light"/>
          <w:b/>
          <w:bCs/>
          <w:sz w:val="24"/>
          <w:lang w:val="en-GB"/>
        </w:rPr>
        <w:t>Coaching Principles in Work-Based Learning</w:t>
      </w:r>
    </w:p>
    <w:p w14:paraId="0C16BCEA" w14:textId="77777777"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lang w:val="en-GB"/>
        </w:rPr>
        <w:t>Effective coaching in WBL programs is crucial for student success and involves several key principles:</w:t>
      </w:r>
    </w:p>
    <w:p w14:paraId="2CD551A8" w14:textId="5DB98F78"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
          <w:bCs/>
          <w:sz w:val="24"/>
          <w:lang w:val="en-GB"/>
        </w:rPr>
        <w:t>Student-Cantered Approach</w:t>
      </w:r>
      <w:r w:rsidRPr="006E415E">
        <w:rPr>
          <w:rFonts w:ascii="Bookman Old Style" w:hAnsi="Bookman Old Style" w:cs="Segoe UI Light"/>
          <w:bCs/>
          <w:sz w:val="24"/>
          <w:lang w:val="en-GB"/>
        </w:rPr>
        <w:t>: Coaching should prioritize the individual needs and goals of each student. This involves developing individualized learning plans and allowing students choice in the industries and worksite locations they explore . In the South African context, this principle is particularly important given the diverse educational backgrounds and career aspirations of students .</w:t>
      </w:r>
      <w:r>
        <w:rPr>
          <w:rFonts w:ascii="Bookman Old Style" w:hAnsi="Bookman Old Style" w:cs="Segoe UI Light"/>
          <w:bCs/>
          <w:sz w:val="24"/>
          <w:lang w:val="en-GB"/>
        </w:rPr>
        <w:t xml:space="preserve">t </w:t>
      </w:r>
      <w:r w:rsidRPr="006E415E">
        <w:rPr>
          <w:rFonts w:ascii="Bookman Old Style" w:hAnsi="Bookman Old Style" w:cs="Segoe UI Light"/>
          <w:b/>
          <w:bCs/>
          <w:sz w:val="24"/>
          <w:lang w:val="en-GB"/>
        </w:rPr>
        <w:t>Clear Expectations and Goals</w:t>
      </w:r>
      <w:r w:rsidRPr="006E415E">
        <w:rPr>
          <w:rFonts w:ascii="Bookman Old Style" w:hAnsi="Bookman Old Style" w:cs="Segoe UI Light"/>
          <w:bCs/>
          <w:sz w:val="24"/>
          <w:lang w:val="en-GB"/>
        </w:rPr>
        <w:t>: Coaches must work with students, employers, and educators to establish clear definitions of goals, expectations, and procedures for the WBL experience . This ensures that all stakeholders understand their roles and responsibilities and that student progress can be effectively tracked </w:t>
      </w:r>
      <w:r>
        <w:rPr>
          <w:rFonts w:ascii="Bookman Old Style" w:hAnsi="Bookman Old Style" w:cs="Segoe UI Light"/>
          <w:bCs/>
          <w:sz w:val="24"/>
          <w:lang w:val="en-GB"/>
        </w:rPr>
        <w:t>.</w:t>
      </w:r>
      <w:r w:rsidRPr="006E415E">
        <w:rPr>
          <w:rFonts w:ascii="Bookman Old Style" w:hAnsi="Bookman Old Style" w:cs="Segoe UI Light"/>
          <w:b/>
          <w:bCs/>
          <w:sz w:val="24"/>
          <w:lang w:val="en-GB"/>
        </w:rPr>
        <w:t>Continuous Feedback and Reflection</w:t>
      </w:r>
      <w:r w:rsidRPr="006E415E">
        <w:rPr>
          <w:rFonts w:ascii="Bookman Old Style" w:hAnsi="Bookman Old Style" w:cs="Segoe UI Light"/>
          <w:bCs/>
          <w:sz w:val="24"/>
          <w:lang w:val="en-GB"/>
        </w:rPr>
        <w:t xml:space="preserve">: Regular and constructive feedback is essential for student growth. Coaches should facilitate opportunities for students to reflect on their experiences, identify areas for improvement, and connect their learning in the </w:t>
      </w:r>
      <w:r w:rsidRPr="006E415E">
        <w:rPr>
          <w:rFonts w:ascii="Bookman Old Style" w:hAnsi="Bookman Old Style" w:cs="Segoe UI Light"/>
          <w:bCs/>
          <w:sz w:val="24"/>
          <w:lang w:val="en-GB"/>
        </w:rPr>
        <w:lastRenderedPageBreak/>
        <w:t>workplace to their academic studies . This iterative process helps students develop transferable skills applicable across various contexts </w:t>
      </w:r>
      <w:r>
        <w:rPr>
          <w:rFonts w:ascii="Bookman Old Style" w:hAnsi="Bookman Old Style" w:cs="Segoe UI Light"/>
          <w:bCs/>
          <w:sz w:val="24"/>
          <w:lang w:val="en-GB"/>
        </w:rPr>
        <w:t>,</w:t>
      </w:r>
      <w:r w:rsidRPr="006E415E">
        <w:rPr>
          <w:rFonts w:ascii="Bookman Old Style" w:hAnsi="Bookman Old Style" w:cs="Segoe UI Light"/>
          <w:b/>
          <w:bCs/>
          <w:sz w:val="24"/>
          <w:lang w:val="en-GB"/>
        </w:rPr>
        <w:t>Building Positive Relationships</w:t>
      </w:r>
      <w:r w:rsidRPr="006E415E">
        <w:rPr>
          <w:rFonts w:ascii="Bookman Old Style" w:hAnsi="Bookman Old Style" w:cs="Segoe UI Light"/>
          <w:bCs/>
          <w:sz w:val="24"/>
          <w:lang w:val="en-GB"/>
        </w:rPr>
        <w:t>: A supportive coaching relationship fosters a safe and encouraging environment for learning. Coaches should help students build positive relationships with adult mentors in the workplace, which can significantly contribute to their social and human capital development</w:t>
      </w:r>
    </w:p>
    <w:p w14:paraId="1A48C781" w14:textId="77777777" w:rsidR="006E415E" w:rsidRPr="006E415E" w:rsidRDefault="006E415E" w:rsidP="006E415E">
      <w:pPr>
        <w:spacing w:line="360" w:lineRule="auto"/>
        <w:rPr>
          <w:rFonts w:ascii="Bookman Old Style" w:hAnsi="Bookman Old Style" w:cs="Segoe UI Light"/>
          <w:b/>
          <w:bCs/>
          <w:sz w:val="24"/>
          <w:lang w:val="en-GB"/>
        </w:rPr>
      </w:pPr>
      <w:r w:rsidRPr="006E415E">
        <w:rPr>
          <w:rFonts w:ascii="Bookman Old Style" w:hAnsi="Bookman Old Style" w:cs="Segoe UI Light"/>
          <w:b/>
          <w:bCs/>
          <w:sz w:val="24"/>
          <w:lang w:val="en-GB"/>
        </w:rPr>
        <w:t>Practices in Facilitation of Work-Based Learning</w:t>
      </w:r>
    </w:p>
    <w:p w14:paraId="2F4E568D" w14:textId="7B493681"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lang w:val="en-GB"/>
        </w:rPr>
        <w:t xml:space="preserve">The application of these principles translates into concrete facilitation practices: Structured Mentorship and Supervision: Providing students with dedicated mentors or supervisors at the workplace is a critical practice . These individuals offer guidance, feedback, and support, helping students navigate workplace culture and develop professional skills. Regular check-ins and performance reviews are essential components of this practice .Curriculum Integration and Alignment: Facilitators ensure that WBL experiences are integrated with the school-based curriculum, reinforcing academic learning and demonstrating its real-world </w:t>
      </w:r>
      <w:proofErr w:type="gramStart"/>
      <w:r w:rsidRPr="006E415E">
        <w:rPr>
          <w:rFonts w:ascii="Bookman Old Style" w:hAnsi="Bookman Old Style" w:cs="Segoe UI Light"/>
          <w:bCs/>
          <w:sz w:val="24"/>
          <w:lang w:val="en-GB"/>
        </w:rPr>
        <w:t>application .</w:t>
      </w:r>
      <w:proofErr w:type="gramEnd"/>
      <w:r w:rsidRPr="006E415E">
        <w:rPr>
          <w:rFonts w:ascii="Bookman Old Style" w:hAnsi="Bookman Old Style" w:cs="Segoe UI Light"/>
          <w:bCs/>
          <w:sz w:val="24"/>
          <w:lang w:val="en-GB"/>
        </w:rPr>
        <w:t xml:space="preserve"> This involves collaboration between educators and employers to design learning objectives that bridge classroom theory with practical application . Pre-Placement Preparation and Post-Placement Reflection: Before starting a WBL placement, students receive preparation in areas such as resume writing, interview skills, and workplace etiquette . After the placement, facilitators guide students through reflection activities to consolidate their learning, identify areas for growth, and connect their experiences to future career paths .</w:t>
      </w:r>
    </w:p>
    <w:p w14:paraId="79598422" w14:textId="46BC2A0D" w:rsidR="006E415E" w:rsidRPr="006E415E" w:rsidRDefault="006E415E" w:rsidP="006E415E">
      <w:pPr>
        <w:spacing w:line="360" w:lineRule="auto"/>
        <w:rPr>
          <w:rFonts w:ascii="Bookman Old Style" w:hAnsi="Bookman Old Style" w:cs="Segoe UI Light"/>
          <w:bCs/>
          <w:sz w:val="24"/>
          <w:lang w:val="en-GB"/>
        </w:rPr>
      </w:pPr>
      <w:r w:rsidRPr="006E415E">
        <w:rPr>
          <w:rFonts w:ascii="Bookman Old Style" w:hAnsi="Bookman Old Style" w:cs="Segoe UI Light"/>
          <w:bCs/>
          <w:sz w:val="24"/>
          <w:lang w:val="en-GB"/>
        </w:rPr>
        <w:t>Ongoing Communication and Feedback Loops: Establishing clear and consistent communication channels among students, educators, employers, and intermediaries is a fundamental practice . This includes regular meetings, progress reports, and feedback mechanisms to address challenges, celebrate successes, and adapt the program as needed . In South Africa, effective communication can help overcome geographical and resource disparities . Assessment and Evaluation: Facilitators implement clear measurements to track student progress and evaluate the effectiveness of the WBL program </w:t>
      </w:r>
      <w:hyperlink r:id="rId14" w:anchor="fn:1" w:tooltip="see footnote" w:history="1">
        <w:r w:rsidRPr="006E415E">
          <w:rPr>
            <w:rStyle w:val="Hyperlink"/>
            <w:rFonts w:ascii="Bookman Old Style" w:hAnsi="Bookman Old Style" w:cs="Segoe UI Light"/>
            <w:bCs/>
            <w:sz w:val="24"/>
            <w:vertAlign w:val="superscript"/>
            <w:lang w:val="en-GB"/>
          </w:rPr>
          <w:t>[1]</w:t>
        </w:r>
      </w:hyperlink>
      <w:r w:rsidRPr="006E415E">
        <w:rPr>
          <w:rFonts w:ascii="Bookman Old Style" w:hAnsi="Bookman Old Style" w:cs="Segoe UI Light"/>
          <w:bCs/>
          <w:sz w:val="24"/>
          <w:lang w:val="en-GB"/>
        </w:rPr>
        <w:t xml:space="preserve">. This involves assessing the </w:t>
      </w:r>
      <w:r w:rsidRPr="006E415E">
        <w:rPr>
          <w:rFonts w:ascii="Bookman Old Style" w:hAnsi="Bookman Old Style" w:cs="Segoe UI Light"/>
          <w:bCs/>
          <w:sz w:val="24"/>
          <w:lang w:val="en-GB"/>
        </w:rPr>
        <w:lastRenderedPageBreak/>
        <w:t>development of specific competencies, student satisfaction, and employer feedback . Data collected from these assessments informs program improvements and ensures accountability . Resource Mobilization and Partnership Building: Facilitators actively engage in building and maintaining strong partnerships with employers, community organizations, and government agencies . This includes identifying potential WBL sites, securing funding, and advocating for policies that support WBL expansion, particularly in regions like South Africa where such partnerships can drive economic development and youth employment . Professional Development for Coaches and Mentors: Providing ongoing training and support for educators, employers, and other individuals involved in coaching and mentoring WBL students is crucial . This ensures they have the necessary skills to guide students effectively, understand program goals, and address any challenges that may arise . These principles and practices, when diligently applied, contribute to high-quality WBL programs that empower students, foster their career development, and address societal needs, particularly in diverse and developing contexts like South Africa </w:t>
      </w:r>
    </w:p>
    <w:p w14:paraId="52C3DE00" w14:textId="77777777" w:rsidR="006E415E" w:rsidRPr="006E415E" w:rsidRDefault="006E415E" w:rsidP="006E415E">
      <w:pPr>
        <w:spacing w:line="360" w:lineRule="auto"/>
        <w:rPr>
          <w:rFonts w:ascii="Bookman Old Style" w:hAnsi="Bookman Old Style" w:cs="Segoe UI Light"/>
          <w:b/>
          <w:sz w:val="24"/>
          <w:lang w:val="en-GB"/>
        </w:rPr>
      </w:pPr>
    </w:p>
    <w:p w14:paraId="459126D9" w14:textId="3F288396" w:rsidR="006E415E" w:rsidRPr="006E415E" w:rsidRDefault="006E415E" w:rsidP="006E415E">
      <w:pPr>
        <w:spacing w:line="360" w:lineRule="auto"/>
        <w:rPr>
          <w:rFonts w:ascii="Bookman Old Style" w:hAnsi="Bookman Old Style" w:cs="Segoe UI Light"/>
          <w:b/>
          <w:sz w:val="24"/>
          <w:u w:val="single"/>
          <w:lang w:val="en-GB"/>
        </w:rPr>
      </w:pPr>
      <w:r w:rsidRPr="006E415E">
        <w:rPr>
          <w:rFonts w:ascii="Bookman Old Style" w:hAnsi="Bookman Old Style" w:cs="Segoe UI Light"/>
          <w:b/>
          <w:sz w:val="24"/>
          <w:u w:val="single"/>
          <w:lang w:val="en-GB"/>
        </w:rPr>
        <w:t xml:space="preserve">KT0302 Mentorship principles and practices </w:t>
      </w:r>
    </w:p>
    <w:p w14:paraId="104CE650" w14:textId="778A1BB5" w:rsidR="006E415E" w:rsidRPr="00034F8B" w:rsidRDefault="00034F8B" w:rsidP="006E415E">
      <w:pPr>
        <w:spacing w:line="360" w:lineRule="auto"/>
        <w:rPr>
          <w:rFonts w:ascii="Bookman Old Style" w:hAnsi="Bookman Old Style" w:cs="Segoe UI Light"/>
          <w:bCs/>
          <w:sz w:val="24"/>
          <w:lang w:val="en-GB"/>
        </w:rPr>
      </w:pPr>
      <w:r w:rsidRPr="00034F8B">
        <w:rPr>
          <w:rFonts w:ascii="Bookman Old Style" w:hAnsi="Bookman Old Style" w:cs="Segoe UI Light"/>
          <w:bCs/>
          <w:sz w:val="24"/>
        </w:rPr>
        <w:t>Workplace-based learning (WBL) in South Africa, particularly within family medicine postgraduate training, is a multifaceted process influenced by various mentorship principles and practices. It aims to develop healthcare workers who are fit for practice by providing authentic learning opportunities within district health systems</w:t>
      </w:r>
      <w:r>
        <w:rPr>
          <w:rFonts w:ascii="Bookman Old Style" w:hAnsi="Bookman Old Style" w:cs="Segoe UI Light"/>
          <w:bCs/>
          <w:sz w:val="24"/>
        </w:rPr>
        <w:t>.</w:t>
      </w:r>
    </w:p>
    <w:p w14:paraId="23039115" w14:textId="77777777" w:rsid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Mentorship in WBL in South Africa encompasses several key principles and practices that facilitate registrars' (postgraduate trainees) acquisition of necessary skills and competencies. These include fostering self-directed learning, encouraging interpersonal interactions, leveraging district activities, and navigating contextual influences.</w:t>
      </w:r>
    </w:p>
    <w:p w14:paraId="1E630C1D" w14:textId="77777777" w:rsidR="00034F8B" w:rsidRDefault="00034F8B" w:rsidP="00034F8B">
      <w:pPr>
        <w:spacing w:line="360" w:lineRule="auto"/>
        <w:rPr>
          <w:rFonts w:ascii="Bookman Old Style" w:hAnsi="Bookman Old Style" w:cs="Segoe UI Light"/>
          <w:bCs/>
          <w:sz w:val="24"/>
          <w:lang w:val="en-GB"/>
        </w:rPr>
      </w:pPr>
    </w:p>
    <w:p w14:paraId="78E1DE17" w14:textId="5AE1AAD1"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 </w:t>
      </w:r>
    </w:p>
    <w:p w14:paraId="0C120F1F" w14:textId="77777777" w:rsidR="00034F8B" w:rsidRPr="00034F8B" w:rsidRDefault="00034F8B" w:rsidP="00034F8B">
      <w:pPr>
        <w:spacing w:line="360" w:lineRule="auto"/>
        <w:rPr>
          <w:rFonts w:ascii="Bookman Old Style" w:hAnsi="Bookman Old Style" w:cs="Segoe UI Light"/>
          <w:b/>
          <w:bCs/>
          <w:i/>
          <w:iCs/>
          <w:sz w:val="24"/>
          <w:lang w:val="en-GB"/>
        </w:rPr>
      </w:pPr>
      <w:r w:rsidRPr="00034F8B">
        <w:rPr>
          <w:rFonts w:ascii="Bookman Old Style" w:hAnsi="Bookman Old Style" w:cs="Segoe UI Light"/>
          <w:b/>
          <w:bCs/>
          <w:i/>
          <w:iCs/>
          <w:sz w:val="24"/>
          <w:lang w:val="en-GB"/>
        </w:rPr>
        <w:lastRenderedPageBreak/>
        <w:t>Principles and Practices of Mentorship in WBL</w:t>
      </w:r>
    </w:p>
    <w:p w14:paraId="2BDAC7FE"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1. Facilitating Self-Directed Learning</w:t>
      </w:r>
    </w:p>
    <w:p w14:paraId="447E3428" w14:textId="05A89463"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A core principle of mentorship in South African WBL is the promotion of self-directed learning (SDL). Registrars are encouraged to develop their own learning goals, identify resources, and seek feedback, aligning with national learning outcomes set by bodies like the South African Academy of Family Physicians. Mentors guide registrars in creating individualized learning plans and undertaking activities to achieve these goals.  Learning Portfolios: Mentors utilize learning portfolios as a tool to support SDL, providing guidance on learning objectives and tracking progress. However, effective utilization of these portfolios for deeper learning and reflection remains a challenge, often being treated as a compliance exercise rather than a reflective tool.  Feedback and Reflection: Mentors provide feedback, both positive and negative, to help registrars identify strengths and areas for improvement. While registrars generally perceive themselves as incorporating feedback and reflecting on their experiences, family physicians (FPs) sometimes note a variability in the depth of reflection and application of feedback. Mentors are encouraged to provide more explicit guidance on reflective practices earlier in training. </w:t>
      </w:r>
    </w:p>
    <w:p w14:paraId="38A3B5A1"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2. Encouraging Interpersonal Interactions</w:t>
      </w:r>
    </w:p>
    <w:p w14:paraId="2D2C0144" w14:textId="0BC4DD71"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Mentorship actively promotes learning through interactions with various individuals within the workplace. Patient Interactions: Registrars learn significantly from engaging with diverse and complex patients, which helps them apply family medicine principles, read relevant literature, and critique their patient management approaches. Mentors emphasize the importance of viewing each patient encounter as a learning opportunity.  Peer Learning: Mentors recognize and encourage peer interactions, including intergenerational learning among registrars of different seniority levels. This creates a supportive environment where trainees can share experiences and motivate each other.  Family Physician (FP) Supervision: Direct supervision by FPs is crucial. Mentors provide opportunities for registrars to discuss cases, practice family medicine principles, and receive </w:t>
      </w:r>
      <w:r w:rsidRPr="00034F8B">
        <w:rPr>
          <w:rFonts w:ascii="Bookman Old Style" w:hAnsi="Bookman Old Style" w:cs="Segoe UI Light"/>
          <w:bCs/>
          <w:sz w:val="24"/>
          <w:lang w:val="en-GB"/>
        </w:rPr>
        <w:lastRenderedPageBreak/>
        <w:t xml:space="preserve">guidance during patient consultations. However, a lack of adequate FPs and their multiple roles can limit opportunities for registrars to observe role modeling, which is a significant aspect of mentorship. Interprofessional Learning: Mentors advocate for learning from other healthcare professionals such as nurses, physiotherapists, and occupational therapists. While opportunities exist, mentors often observe that registrars do not fully utilize these, possibly due to a lack of perceived relevance to assessments or professional stereotypes. Mentors aim to foster a collaborative learning climate that encourages interprofessional engagement. </w:t>
      </w:r>
    </w:p>
    <w:p w14:paraId="0C395FD4"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3. Leveraging District Activities</w:t>
      </w:r>
    </w:p>
    <w:p w14:paraId="60DFF953" w14:textId="5C23637B"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Mentors integrate registrars into various district activities to broaden their learning experiences. Student and Staff Training: Registrars are given opportunities to train junior doctors, supervise interns, and conduct student assessments. Mentors view this as a valuable learning experience that enhances registrars' teaching styles and ability to gauge knowledge levels. Continuing Medical Education (CME) and Workshops: Participation in CME meetings and workshops, where different professionals present and interact, is facilitated by mentors to keep registrars updated with current medical knowledge. Community-Oriented Primary Care (COPC) and Quality Improvement Projects (QIPs): Mentors involve registrars in COPC and QIPs, which are essential for understanding community health needs and improving patient care within the district. Mortality and Morbidity (M&amp;M) Meetings: Participation in M&amp;M meetings is a critical learning opportunity where registrars learn from discussions about missed opportunities in patient management and how to improve future care. </w:t>
      </w:r>
    </w:p>
    <w:p w14:paraId="0B6CC4EA"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4. Addressing Contextual Influences</w:t>
      </w:r>
    </w:p>
    <w:p w14:paraId="41FD5B54" w14:textId="106BA958"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Mentorship also involves navigating and advocating for improvements in the learning environment. Conducive Learning Environment: Mentors strive to create a supportive clinical environment with adequate patient numbers and diverse clinical settings across various facilities (clinics, district, and regional hospitals). This exposure to different sociodemographic characteristics and disease burdens enriches learning.  Resource Availability: Mentors acknowledge that </w:t>
      </w:r>
      <w:r w:rsidRPr="00034F8B">
        <w:rPr>
          <w:rFonts w:ascii="Bookman Old Style" w:hAnsi="Bookman Old Style" w:cs="Segoe UI Light"/>
          <w:bCs/>
          <w:sz w:val="24"/>
          <w:lang w:val="en-GB"/>
        </w:rPr>
        <w:lastRenderedPageBreak/>
        <w:t>variable human and material resources across districts can impede learning. They advocate for improved availability of FPs, essential equipment, and training materials.  Workload Management: Excessive workload due to service delivery demands is a significant challenge that negatively impacts learning. Mentors recognize the need for protected time for registrar learning and advocate for support from district management to balance service delivery with training. District Management and University Support: Mentors emphasize the importance of support from district management for promoting registrar learning, including allowing clinical rotations and providing protected learning time. They also seek university engagement to raise awareness about family medicine training and ensure that the quality of registrars' work aligns with their learning objectives. Standardization of Learning Opportunities: Mentors and registrars highlight the need for standardized learning opportunities across districts to ensure consistent training experiences and outcomes.</w:t>
      </w:r>
    </w:p>
    <w:p w14:paraId="4CF45CF0" w14:textId="41815ABA" w:rsidR="006E415E" w:rsidRPr="00034F8B" w:rsidRDefault="00034F8B" w:rsidP="006E415E">
      <w:pPr>
        <w:spacing w:line="360" w:lineRule="auto"/>
        <w:rPr>
          <w:rFonts w:ascii="Bookman Old Style" w:hAnsi="Bookman Old Style" w:cs="Segoe UI Light"/>
          <w:b/>
          <w:i/>
          <w:iCs/>
          <w:sz w:val="24"/>
          <w:lang w:val="en-GB"/>
        </w:rPr>
      </w:pPr>
      <w:r w:rsidRPr="00034F8B">
        <w:rPr>
          <w:rFonts w:ascii="Bookman Old Style" w:hAnsi="Bookman Old Style" w:cs="Segoe UI Light"/>
          <w:b/>
          <w:i/>
          <w:iCs/>
          <w:sz w:val="24"/>
          <w:lang w:val="en-GB"/>
        </w:rPr>
        <w:t>Mentorship principles and practices are explained as applied to work-based learning interventions</w:t>
      </w:r>
    </w:p>
    <w:p w14:paraId="32DD041D" w14:textId="06FAA9C4" w:rsidR="006E415E" w:rsidRPr="00034F8B" w:rsidRDefault="00034F8B" w:rsidP="006E415E">
      <w:pPr>
        <w:spacing w:line="360" w:lineRule="auto"/>
        <w:rPr>
          <w:rFonts w:ascii="Bookman Old Style" w:hAnsi="Bookman Old Style" w:cs="Segoe UI Light"/>
          <w:bCs/>
          <w:sz w:val="24"/>
          <w:lang w:val="en-GB"/>
        </w:rPr>
      </w:pPr>
      <w:r w:rsidRPr="00034F8B">
        <w:rPr>
          <w:rFonts w:ascii="Bookman Old Style" w:hAnsi="Bookman Old Style" w:cs="Segoe UI Light"/>
          <w:bCs/>
          <w:sz w:val="24"/>
        </w:rPr>
        <w:t>Mentorship principles and practices, as applied to work-based learning interventions in South Africa, emphasize a structured and supportive approach to developing skills and knowledge within a practical work environment. Key principles include fostering a strong mentor-mentee relationship, clearly defining learning objectives, providing regular feedback, and promoting mentee autonomy and self-directed learning.  Practices often involve a combination of formal and informal interactions, including one-on-one coaching, observation, task delegation, and reflective discussions. The goal is to bridge the gap between theoretical knowledge and practical application, ensuring that learners acquire competencies relevant to their specific industry and the South African context.</w:t>
      </w:r>
    </w:p>
    <w:p w14:paraId="5B5B411A" w14:textId="2508D033" w:rsidR="00034F8B" w:rsidRPr="00034F8B" w:rsidRDefault="00034F8B" w:rsidP="006E415E">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In the South African work-based learning landscape, mentorship is crucial for addressing skills shortages and improving employability.  The principles guiding these interventions often align with adult learning theories, recognizing that adult learners benefit from experiential learning, relevance to their work, and </w:t>
      </w:r>
      <w:r w:rsidRPr="00034F8B">
        <w:rPr>
          <w:rFonts w:ascii="Bookman Old Style" w:hAnsi="Bookman Old Style" w:cs="Segoe UI Light"/>
          <w:bCs/>
          <w:sz w:val="24"/>
          <w:lang w:val="en-GB"/>
        </w:rPr>
        <w:lastRenderedPageBreak/>
        <w:t>opportunities for immediate application.  Mentors are expected to act as role models, facilitators, and guides, helping mentees navigate workplace challenges, develop professional networks, and build confidence.  S</w:t>
      </w:r>
      <w:r w:rsidRPr="00034F8B">
        <w:rPr>
          <w:rFonts w:ascii="Bookman Old Style" w:hAnsi="Bookman Old Style" w:cs="Segoe UI Light"/>
          <w:bCs/>
          <w:i/>
          <w:iCs/>
          <w:sz w:val="24"/>
          <w:lang w:val="en-GB"/>
        </w:rPr>
        <w:t>pecific practices might include:</w:t>
      </w:r>
      <w:r w:rsidRPr="00034F8B">
        <w:rPr>
          <w:rFonts w:ascii="Bookman Old Style" w:hAnsi="Bookman Old Style" w:cs="Segoe UI Light"/>
          <w:bCs/>
          <w:sz w:val="24"/>
          <w:lang w:val="en-GB"/>
        </w:rPr>
        <w:t xml:space="preserve"> Structured Mentoring Programs: These programs often have defined curricula, learning outcomes, and assessment methods. They may involve regular meetings, progress tracking, and formal evaluations of mentee development.  Workplace Induction and Orientation: Mentors play a vital role in integrating new employees or learners into the organizational culture and work processes.  Skill Development and Transfer: Mentors guide mentees through practical tasks, demonstrating best practices, and providing opportunities for hands-on experience. They also facilitate the transfer of tacit knowledge that is often difficult to acquire through formal training alone.  Performance Feedback and Coaching: Regular, constructive feedback is essential for mentee growth. Mentors provide insights into performance, identify areas for improvement, and coach mentees on problem-solving and decision-making.  Career Guidance and Professional Development: Mentors can offer advice on career paths, professional ethics, and opportunities for further learning and advancement within the industry.  Cultural Sensitivity and Contextualization: Given the diverse socio-economic landscape of South Africa, effective mentorship also involves understanding and addressing the unique challenges and opportunities faced by mentees from various backgrounds.  This includes promoting inclusivity and ensuring that learning interventions are culturally appropriate and relevant.</w:t>
      </w:r>
    </w:p>
    <w:p w14:paraId="74FAD1D5" w14:textId="3D58D1B4" w:rsidR="006E415E" w:rsidRPr="00034F8B" w:rsidRDefault="006E415E" w:rsidP="006E415E">
      <w:pPr>
        <w:spacing w:line="360" w:lineRule="auto"/>
        <w:rPr>
          <w:rFonts w:ascii="Bookman Old Style" w:hAnsi="Bookman Old Style" w:cs="Segoe UI Light"/>
          <w:b/>
          <w:sz w:val="24"/>
          <w:u w:val="single"/>
          <w:lang w:val="en-GB"/>
        </w:rPr>
      </w:pPr>
      <w:r w:rsidRPr="00034F8B">
        <w:rPr>
          <w:rFonts w:ascii="Bookman Old Style" w:hAnsi="Bookman Old Style" w:cs="Segoe UI Light"/>
          <w:b/>
          <w:sz w:val="24"/>
          <w:u w:val="single"/>
          <w:lang w:val="en-GB"/>
        </w:rPr>
        <w:t>KT0303 Job instruction principles and practices</w:t>
      </w:r>
    </w:p>
    <w:p w14:paraId="08C43FE9" w14:textId="401850B4"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rPr>
        <w:t>Work-based learning (WBL) is a training approach focused on acquiring competencies directly related to actual industry practices, enhancing skills learned in in-house training through exposure in the workplace . It is a crucial component of competency-based training, aiming to bridge the gap between academic learning and real-world job requirements </w:t>
      </w:r>
      <w:r>
        <w:rPr>
          <w:rFonts w:ascii="Bookman Old Style" w:hAnsi="Bookman Old Style" w:cs="Segoe UI Light"/>
          <w:bCs/>
          <w:sz w:val="24"/>
        </w:rPr>
        <w:t>.</w:t>
      </w:r>
      <w:r>
        <w:rPr>
          <w:rFonts w:ascii="Bookman Old Style" w:hAnsi="Bookman Old Style" w:cs="Segoe UI Light"/>
          <w:bCs/>
          <w:sz w:val="24"/>
          <w:lang w:val="en-GB"/>
        </w:rPr>
        <w:t xml:space="preserve"> </w:t>
      </w:r>
      <w:r w:rsidRPr="00034F8B">
        <w:rPr>
          <w:rFonts w:ascii="Bookman Old Style" w:hAnsi="Bookman Old Style" w:cs="Segoe UI Light"/>
          <w:bCs/>
          <w:sz w:val="24"/>
          <w:lang w:val="en-GB"/>
        </w:rPr>
        <w:t>The principles and practices of job instruction in facilitating work-based learning, particularly in the context of South Africa, involve several key elements:</w:t>
      </w:r>
    </w:p>
    <w:p w14:paraId="6BD49559"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lastRenderedPageBreak/>
        <w:t>Job Instruction Principles</w:t>
      </w:r>
    </w:p>
    <w:p w14:paraId="3DD6D371" w14:textId="380207D2"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Effective job instruction within WBL emphasizes a structured approach to skill transfer and development </w:t>
      </w:r>
      <w:r w:rsidRPr="00034F8B">
        <w:rPr>
          <w:rFonts w:ascii="Bookman Old Style" w:hAnsi="Bookman Old Style" w:cs="Segoe UI Light"/>
          <w:bCs/>
          <w:i/>
          <w:iCs/>
          <w:sz w:val="24"/>
          <w:lang w:val="en-GB"/>
        </w:rPr>
        <w:t>. Key principles include:</w:t>
      </w:r>
      <w:r w:rsidRPr="00034F8B">
        <w:rPr>
          <w:rFonts w:ascii="Bookman Old Style" w:hAnsi="Bookman Old Style" w:cs="Segoe UI Light"/>
          <w:bCs/>
          <w:sz w:val="24"/>
          <w:lang w:val="en-GB"/>
        </w:rPr>
        <w:t xml:space="preserve"> Preparation of the Trainee: Before instruction begins, the trainee should be put at ease, their interest in the job should be stimulated, and their prior knowledge assessed. This ensures they are receptive to learning and understand the relevance of the task . Presentation of the Operation: The trainer demonstrates and explains the job step-by-step, clearly and patiently. Complex tasks are broken down into smaller, manageable units. Key points, safety precautions, and quality standards are highlighted . Visual aids and hands-on demonstrations are often employed to enhance understanding . Performance Try-Out: The trainee performs the job under supervision, explaining each step as they go. This allows the trainer to identify misunderstandings or incorrect procedures immediately and provide corrective feedback . Repetition is encouraged until the trainee can perform the task accurately and confidently . Follow-Up: After the initial instruction, the trainee is gradually given more independence, but the trainer remains available for support and checks their progress periodically. This reinforces learning and ensures the trainee maintains correct practices . Regular feedback and opportunities for practice are essential for skill consolidation .</w:t>
      </w:r>
    </w:p>
    <w:p w14:paraId="757A7DF9"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Practices in Facilitation of Work-Based Learning</w:t>
      </w:r>
    </w:p>
    <w:p w14:paraId="43800806" w14:textId="3BC5D0E0"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Facilitating WBL involves a range of practices that ensure a comprehensive and effective learning experience . </w:t>
      </w:r>
      <w:r w:rsidRPr="00034F8B">
        <w:rPr>
          <w:rFonts w:ascii="Bookman Old Style" w:hAnsi="Bookman Old Style" w:cs="Segoe UI Light"/>
          <w:bCs/>
          <w:i/>
          <w:iCs/>
          <w:sz w:val="24"/>
          <w:lang w:val="en-GB"/>
        </w:rPr>
        <w:t>These include:</w:t>
      </w:r>
      <w:r>
        <w:rPr>
          <w:rFonts w:ascii="Bookman Old Style" w:hAnsi="Bookman Old Style" w:cs="Segoe UI Light"/>
          <w:bCs/>
          <w:sz w:val="24"/>
          <w:lang w:val="en-GB"/>
        </w:rPr>
        <w:t xml:space="preserve"> </w:t>
      </w:r>
      <w:r w:rsidRPr="00034F8B">
        <w:rPr>
          <w:rFonts w:ascii="Bookman Old Style" w:hAnsi="Bookman Old Style" w:cs="Segoe UI Light"/>
          <w:b/>
          <w:bCs/>
          <w:sz w:val="24"/>
          <w:lang w:val="en-GB"/>
        </w:rPr>
        <w:t>Establishing Training Needs</w:t>
      </w:r>
      <w:r w:rsidRPr="00034F8B">
        <w:rPr>
          <w:rFonts w:ascii="Bookman Old Style" w:hAnsi="Bookman Old Style" w:cs="Segoe UI Light"/>
          <w:bCs/>
          <w:sz w:val="24"/>
          <w:lang w:val="en-GB"/>
        </w:rPr>
        <w:t xml:space="preserve">: Identifying the specific competencies and skills trainees need to acquire, often through a training needs </w:t>
      </w:r>
      <w:proofErr w:type="gramStart"/>
      <w:r w:rsidRPr="00034F8B">
        <w:rPr>
          <w:rFonts w:ascii="Bookman Old Style" w:hAnsi="Bookman Old Style" w:cs="Segoe UI Light"/>
          <w:bCs/>
          <w:sz w:val="24"/>
          <w:lang w:val="en-GB"/>
        </w:rPr>
        <w:t>assessment .</w:t>
      </w:r>
      <w:proofErr w:type="gramEnd"/>
      <w:r w:rsidRPr="00034F8B">
        <w:rPr>
          <w:rFonts w:ascii="Bookman Old Style" w:hAnsi="Bookman Old Style" w:cs="Segoe UI Light"/>
          <w:bCs/>
          <w:sz w:val="24"/>
          <w:lang w:val="en-GB"/>
        </w:rPr>
        <w:t xml:space="preserve"> This forms the basis for developing a relevant training plan </w:t>
      </w:r>
      <w:r>
        <w:rPr>
          <w:rFonts w:ascii="Bookman Old Style" w:hAnsi="Bookman Old Style" w:cs="Segoe UI Light"/>
          <w:bCs/>
          <w:sz w:val="24"/>
          <w:lang w:val="en-GB"/>
        </w:rPr>
        <w:t>.</w:t>
      </w:r>
      <w:r w:rsidRPr="00034F8B">
        <w:rPr>
          <w:rFonts w:ascii="Bookman Old Style" w:hAnsi="Bookman Old Style" w:cs="Segoe UI Light"/>
          <w:b/>
          <w:bCs/>
          <w:sz w:val="24"/>
          <w:lang w:val="en-GB"/>
        </w:rPr>
        <w:t>Developing a Training Plan</w:t>
      </w:r>
      <w:r w:rsidRPr="00034F8B">
        <w:rPr>
          <w:rFonts w:ascii="Bookman Old Style" w:hAnsi="Bookman Old Style" w:cs="Segoe UI Light"/>
          <w:bCs/>
          <w:sz w:val="24"/>
          <w:lang w:val="en-GB"/>
        </w:rPr>
        <w:t>: A detailed document outlining the competencies to be obtained, the timeframe, delivery modes, responsible personnel, assessment details, and other specific requirements . This plan serves as a guide for both the trainer and the trainee .</w:t>
      </w:r>
      <w:r>
        <w:rPr>
          <w:rFonts w:ascii="Bookman Old Style" w:hAnsi="Bookman Old Style" w:cs="Segoe UI Light"/>
          <w:bCs/>
          <w:sz w:val="24"/>
          <w:lang w:val="en-GB"/>
        </w:rPr>
        <w:t xml:space="preserve"> </w:t>
      </w:r>
      <w:r w:rsidRPr="00034F8B">
        <w:rPr>
          <w:rFonts w:ascii="Bookman Old Style" w:hAnsi="Bookman Old Style" w:cs="Segoe UI Light"/>
          <w:b/>
          <w:bCs/>
          <w:sz w:val="24"/>
          <w:lang w:val="en-GB"/>
        </w:rPr>
        <w:t>Coordination with Industry/Training Provider</w:t>
      </w:r>
      <w:r w:rsidRPr="00034F8B">
        <w:rPr>
          <w:rFonts w:ascii="Bookman Old Style" w:hAnsi="Bookman Old Style" w:cs="Segoe UI Light"/>
          <w:bCs/>
          <w:sz w:val="24"/>
          <w:lang w:val="en-GB"/>
        </w:rPr>
        <w:t xml:space="preserve">: WBL often involves collaboration between educational institutions and industry partners, formalized through agreements like </w:t>
      </w:r>
      <w:r w:rsidRPr="00034F8B">
        <w:rPr>
          <w:rFonts w:ascii="Bookman Old Style" w:hAnsi="Bookman Old Style" w:cs="Segoe UI Light"/>
          <w:bCs/>
          <w:sz w:val="24"/>
          <w:lang w:val="en-GB"/>
        </w:rPr>
        <w:lastRenderedPageBreak/>
        <w:t>Memoranda of Agreement (MOA) . This ensures that training aligns with actual industry practices and standards .</w:t>
      </w:r>
      <w:r>
        <w:rPr>
          <w:rFonts w:ascii="Bookman Old Style" w:hAnsi="Bookman Old Style" w:cs="Segoe UI Light"/>
          <w:bCs/>
          <w:sz w:val="24"/>
          <w:lang w:val="en-GB"/>
        </w:rPr>
        <w:t xml:space="preserve"> </w:t>
      </w:r>
      <w:r w:rsidRPr="00034F8B">
        <w:rPr>
          <w:rFonts w:ascii="Bookman Old Style" w:hAnsi="Bookman Old Style" w:cs="Segoe UI Light"/>
          <w:b/>
          <w:bCs/>
          <w:sz w:val="24"/>
          <w:lang w:val="en-GB"/>
        </w:rPr>
        <w:t>Monitoring and Evaluation</w:t>
      </w:r>
      <w:r w:rsidRPr="00034F8B">
        <w:rPr>
          <w:rFonts w:ascii="Bookman Old Style" w:hAnsi="Bookman Old Style" w:cs="Segoe UI Light"/>
          <w:bCs/>
          <w:sz w:val="24"/>
          <w:lang w:val="en-GB"/>
        </w:rPr>
        <w:t>: Qualified trainers or coordinators continuously monitor the trainee's progress and performance in the workplace . Regular evaluations assess the effectiveness of the training and the trainee's acquisition of skills .</w:t>
      </w:r>
      <w:r>
        <w:rPr>
          <w:rFonts w:ascii="Bookman Old Style" w:hAnsi="Bookman Old Style" w:cs="Segoe UI Light"/>
          <w:bCs/>
          <w:sz w:val="24"/>
          <w:lang w:val="en-GB"/>
        </w:rPr>
        <w:t xml:space="preserve"> </w:t>
      </w:r>
      <w:r w:rsidRPr="00034F8B">
        <w:rPr>
          <w:rFonts w:ascii="Bookman Old Style" w:hAnsi="Bookman Old Style" w:cs="Segoe UI Light"/>
          <w:b/>
          <w:bCs/>
          <w:sz w:val="24"/>
          <w:lang w:val="en-GB"/>
        </w:rPr>
        <w:t>Providing a Supportive Learning Environment</w:t>
      </w:r>
      <w:r w:rsidRPr="00034F8B">
        <w:rPr>
          <w:rFonts w:ascii="Bookman Old Style" w:hAnsi="Bookman Old Style" w:cs="Segoe UI Light"/>
          <w:bCs/>
          <w:sz w:val="24"/>
          <w:lang w:val="en-GB"/>
        </w:rPr>
        <w:t>: Creating an environment where trainees feel comfortable asking questions, making mistakes, and receiving constructive feedback . This includes ensuring access to necessary tools, equipment, and resources .</w:t>
      </w:r>
      <w:r>
        <w:rPr>
          <w:rFonts w:ascii="Bookman Old Style" w:hAnsi="Bookman Old Style" w:cs="Segoe UI Light"/>
          <w:bCs/>
          <w:sz w:val="24"/>
          <w:lang w:val="en-GB"/>
        </w:rPr>
        <w:t xml:space="preserve"> </w:t>
      </w:r>
      <w:r w:rsidRPr="00034F8B">
        <w:rPr>
          <w:rFonts w:ascii="Bookman Old Style" w:hAnsi="Bookman Old Style" w:cs="Segoe UI Light"/>
          <w:b/>
          <w:bCs/>
          <w:sz w:val="24"/>
          <w:lang w:val="en-GB"/>
        </w:rPr>
        <w:t>Integration of Theoretical and Practical Training</w:t>
      </w:r>
      <w:r w:rsidRPr="00034F8B">
        <w:rPr>
          <w:rFonts w:ascii="Bookman Old Style" w:hAnsi="Bookman Old Style" w:cs="Segoe UI Light"/>
          <w:bCs/>
          <w:sz w:val="24"/>
          <w:lang w:val="en-GB"/>
        </w:rPr>
        <w:t>: Combining classroom-based theoretical instruction with practical, on-the-job experience </w:t>
      </w:r>
      <w:r>
        <w:rPr>
          <w:rFonts w:ascii="Bookman Old Style" w:hAnsi="Bookman Old Style" w:cs="Segoe UI Light"/>
          <w:bCs/>
          <w:sz w:val="24"/>
          <w:lang w:val="en-GB"/>
        </w:rPr>
        <w:t>.</w:t>
      </w:r>
      <w:r w:rsidRPr="00034F8B">
        <w:rPr>
          <w:rFonts w:ascii="Bookman Old Style" w:hAnsi="Bookman Old Style" w:cs="Segoe UI Light"/>
          <w:bCs/>
          <w:sz w:val="24"/>
          <w:lang w:val="en-GB"/>
        </w:rPr>
        <w:t>This dual approach ensures trainees gain both knowledge and direct working experience </w:t>
      </w:r>
      <w:r>
        <w:rPr>
          <w:rFonts w:ascii="Bookman Old Style" w:hAnsi="Bookman Old Style" w:cs="Segoe UI Light"/>
          <w:bCs/>
          <w:sz w:val="24"/>
          <w:lang w:val="en-GB"/>
        </w:rPr>
        <w:t>.</w:t>
      </w:r>
      <w:r w:rsidRPr="00034F8B">
        <w:rPr>
          <w:rFonts w:ascii="Bookman Old Style" w:hAnsi="Bookman Old Style" w:cs="Segoe UI Light"/>
          <w:b/>
          <w:bCs/>
          <w:sz w:val="24"/>
          <w:lang w:val="en-GB"/>
        </w:rPr>
        <w:t>Career Guidance and Placement</w:t>
      </w:r>
      <w:r w:rsidRPr="00034F8B">
        <w:rPr>
          <w:rFonts w:ascii="Bookman Old Style" w:hAnsi="Bookman Old Style" w:cs="Segoe UI Light"/>
          <w:bCs/>
          <w:sz w:val="24"/>
          <w:lang w:val="en-GB"/>
        </w:rPr>
        <w:t>: WBL aims to help trainees transition from school to work, providing opportunities for potential career placement and increasing their awareness of career paths .</w:t>
      </w:r>
    </w:p>
    <w:p w14:paraId="21C09A89"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Work-Based Learning in South Africa</w:t>
      </w:r>
    </w:p>
    <w:p w14:paraId="74F530C4" w14:textId="04EE3580"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In South Africa, WBL, particularly learnerships and apprenticeships, is a critical component of the education and training system, often managed by Sector Education and Training Authorities (SETAs) . The government actively promotes these programs to address skill shortages and enhance employability .</w:t>
      </w:r>
    </w:p>
    <w:p w14:paraId="7D5CB57A" w14:textId="77777777" w:rsidR="00034F8B" w:rsidRPr="00034F8B" w:rsidRDefault="00034F8B" w:rsidP="00034F8B">
      <w:pPr>
        <w:spacing w:line="360" w:lineRule="auto"/>
        <w:rPr>
          <w:rFonts w:ascii="Bookman Old Style" w:hAnsi="Bookman Old Style" w:cs="Segoe UI Light"/>
          <w:bCs/>
          <w:i/>
          <w:iCs/>
          <w:sz w:val="24"/>
          <w:lang w:val="en-GB"/>
        </w:rPr>
      </w:pPr>
      <w:r w:rsidRPr="00034F8B">
        <w:rPr>
          <w:rFonts w:ascii="Bookman Old Style" w:hAnsi="Bookman Old Style" w:cs="Segoe UI Light"/>
          <w:bCs/>
          <w:i/>
          <w:iCs/>
          <w:sz w:val="24"/>
          <w:lang w:val="en-GB"/>
        </w:rPr>
        <w:t>Key aspects of WBL in South Africa include:</w:t>
      </w:r>
    </w:p>
    <w:p w14:paraId="686B2E3C" w14:textId="75218B26" w:rsidR="00034F8B" w:rsidRPr="00034F8B" w:rsidRDefault="00034F8B" w:rsidP="00034F8B">
      <w:pPr>
        <w:spacing w:line="360" w:lineRule="auto"/>
        <w:rPr>
          <w:rFonts w:ascii="Bookman Old Style" w:hAnsi="Bookman Old Style" w:cs="Segoe UI Light"/>
          <w:sz w:val="24"/>
          <w:lang w:val="en-GB"/>
        </w:rPr>
      </w:pPr>
      <w:r w:rsidRPr="00034F8B">
        <w:rPr>
          <w:rFonts w:ascii="Bookman Old Style" w:hAnsi="Bookman Old Style" w:cs="Segoe UI Light"/>
          <w:sz w:val="24"/>
          <w:lang w:val="en-GB"/>
        </w:rPr>
        <w:t xml:space="preserve">Learnerships: Practical, on-the-job training for approved occupations, typically not exceeding three months, though some can last longer . They provide both theoretical and practical training, leading to a qualification . Learners usually receive an allowance, not necessarily a salary, to cover expenses like meals and travel . Apprenticeship Programs: Involve a contract between an apprentice and an employer for an approved apprentice able occupation, typically lasting between four and six months . These programs aim to produce qualified skilled workers based on industry requirements . Role of SETAs: SETAs play a crucial role in managing and overseeing learnerships and apprenticeships, ensuring that programs meet industry standards and contribute to national skill development goal. Addressing Unemployment: WBL programs in South Africa are particularly vital for young, </w:t>
      </w:r>
      <w:r w:rsidRPr="00034F8B">
        <w:rPr>
          <w:rFonts w:ascii="Bookman Old Style" w:hAnsi="Bookman Old Style" w:cs="Segoe UI Light"/>
          <w:sz w:val="24"/>
          <w:lang w:val="en-GB"/>
        </w:rPr>
        <w:lastRenderedPageBreak/>
        <w:t>unemployed, and disabled individuals, providing them with essential workplace experience and skills to improve their chances of employment or self-employment . Dual Training System (DTS) Adaptation: While the provided content mentions the Dual Training System in the Philippines, South Africa also utilizes similar models that combine in-school theoretical instruction with in-plant practical training, often adapted to suit local cultural and educational structures . The goal is to ensure trainees are equipped with employable skills, work knowledge, and attitudes . The most relevant answer part is that job instruction principles in work-based learning involve preparing the trainee, presenting the operation, allowing for performance try-outs, and conducting follow-ups, while facilitation practices include establishing training needs, developing a training plan, coordinating with industry, monitoring progress, providing a supportive environment, and integrating theoretical and practical training, with South Africa utilizing learnerships and apprenticeships managed by SETAs to address skill gaps and enhance employability.</w:t>
      </w:r>
    </w:p>
    <w:p w14:paraId="18C586FC" w14:textId="77777777" w:rsidR="006E415E" w:rsidRPr="006E415E" w:rsidRDefault="006E415E" w:rsidP="006E415E">
      <w:pPr>
        <w:spacing w:line="360" w:lineRule="auto"/>
        <w:rPr>
          <w:rFonts w:ascii="Bookman Old Style" w:hAnsi="Bookman Old Style" w:cs="Segoe UI Light"/>
          <w:bCs/>
          <w:sz w:val="24"/>
          <w:lang w:val="en-GB"/>
        </w:rPr>
      </w:pPr>
    </w:p>
    <w:p w14:paraId="761D53AE" w14:textId="77777777" w:rsidR="00C45200" w:rsidRPr="00C45200" w:rsidRDefault="00C45200" w:rsidP="00C45200">
      <w:pPr>
        <w:spacing w:line="360" w:lineRule="auto"/>
        <w:rPr>
          <w:rFonts w:ascii="Bookman Old Style" w:hAnsi="Bookman Old Style" w:cs="Segoe UI Light"/>
          <w:b/>
          <w:sz w:val="24"/>
          <w:lang w:val="en-GB"/>
        </w:rPr>
      </w:pPr>
      <w:r w:rsidRPr="00C45200">
        <w:rPr>
          <w:rFonts w:ascii="Bookman Old Style" w:hAnsi="Bookman Old Style" w:cs="Segoe UI Light"/>
          <w:b/>
          <w:sz w:val="24"/>
          <w:lang w:val="en-GB"/>
        </w:rPr>
        <w:t xml:space="preserve">Internal Assessment Criteria and Weight </w:t>
      </w:r>
    </w:p>
    <w:p w14:paraId="1442D3B5" w14:textId="24942C8A" w:rsidR="00C45200" w:rsidRP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IAC0301 Coaching principles and practices are explained as applied to work-based learning interventions </w:t>
      </w:r>
    </w:p>
    <w:p w14:paraId="31CE9F9C" w14:textId="790F8509" w:rsidR="003917CB" w:rsidRPr="00C45200" w:rsidRDefault="00C45200" w:rsidP="008A5553">
      <w:pPr>
        <w:pStyle w:val="ListParagraph"/>
        <w:numPr>
          <w:ilvl w:val="0"/>
          <w:numId w:val="30"/>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IAC0302 Mentorship principles and practices are explained as applied to work-based learning interventions</w:t>
      </w:r>
    </w:p>
    <w:p w14:paraId="02B546FF" w14:textId="3BB5720B" w:rsidR="00C45200" w:rsidRPr="00C45200" w:rsidRDefault="00C45200" w:rsidP="008A5553">
      <w:pPr>
        <w:pStyle w:val="ListParagraph"/>
        <w:numPr>
          <w:ilvl w:val="0"/>
          <w:numId w:val="33"/>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IAC0303 Job instruction principles and practices are explained as applied to work-based learning interventions </w:t>
      </w:r>
    </w:p>
    <w:p w14:paraId="209A6029" w14:textId="7F71617A" w:rsidR="003917CB" w:rsidRDefault="00C45200" w:rsidP="00C45200">
      <w:pPr>
        <w:spacing w:line="360" w:lineRule="auto"/>
        <w:rPr>
          <w:rFonts w:ascii="Bookman Old Style" w:hAnsi="Bookman Old Style" w:cs="Segoe UI Light"/>
          <w:b/>
          <w:sz w:val="24"/>
          <w:lang w:val="en-GB"/>
        </w:rPr>
      </w:pPr>
      <w:r w:rsidRPr="00C45200">
        <w:rPr>
          <w:rFonts w:ascii="Bookman Old Style" w:hAnsi="Bookman Old Style" w:cs="Segoe UI Light"/>
          <w:b/>
          <w:sz w:val="24"/>
          <w:lang w:val="en-GB"/>
        </w:rPr>
        <w:t>(Weight 30%)</w:t>
      </w:r>
    </w:p>
    <w:p w14:paraId="08D66B4A" w14:textId="4D426E98" w:rsidR="009656CE" w:rsidRDefault="009656CE" w:rsidP="005B1D66">
      <w:pPr>
        <w:spacing w:line="360" w:lineRule="auto"/>
        <w:rPr>
          <w:rFonts w:ascii="Bookman Old Style" w:hAnsi="Bookman Old Style" w:cs="Segoe UI Light"/>
          <w:b/>
          <w:sz w:val="24"/>
          <w:lang w:val="en-GB"/>
        </w:rPr>
      </w:pPr>
    </w:p>
    <w:p w14:paraId="0899AC0B" w14:textId="50059FAB" w:rsidR="009656CE" w:rsidRDefault="009656CE" w:rsidP="005B1D66">
      <w:pPr>
        <w:spacing w:line="360" w:lineRule="auto"/>
        <w:rPr>
          <w:rFonts w:ascii="Bookman Old Style" w:hAnsi="Bookman Old Style" w:cs="Segoe UI Light"/>
          <w:b/>
          <w:sz w:val="24"/>
          <w:lang w:val="en-GB"/>
        </w:rPr>
      </w:pPr>
    </w:p>
    <w:p w14:paraId="02CB3A44" w14:textId="7BCC6C1B" w:rsidR="009656CE" w:rsidRDefault="009656CE" w:rsidP="005B1D66">
      <w:pPr>
        <w:spacing w:line="360" w:lineRule="auto"/>
        <w:rPr>
          <w:rFonts w:ascii="Bookman Old Style" w:hAnsi="Bookman Old Style" w:cs="Segoe UI Light"/>
          <w:b/>
          <w:sz w:val="24"/>
          <w:lang w:val="en-GB"/>
        </w:rPr>
      </w:pPr>
    </w:p>
    <w:p w14:paraId="364185A9" w14:textId="0AB18608" w:rsidR="00C45200" w:rsidRDefault="00C45200" w:rsidP="005B1D66">
      <w:pPr>
        <w:spacing w:line="360" w:lineRule="auto"/>
        <w:rPr>
          <w:rFonts w:ascii="Bookman Old Style" w:hAnsi="Bookman Old Style" w:cs="Segoe UI Light"/>
          <w:b/>
          <w:sz w:val="24"/>
          <w:lang w:val="en-GB"/>
        </w:rPr>
      </w:pPr>
    </w:p>
    <w:p w14:paraId="68B827DC" w14:textId="7BDE000E" w:rsidR="00C45200" w:rsidRDefault="00C45200" w:rsidP="005B1D66">
      <w:pPr>
        <w:spacing w:line="360" w:lineRule="auto"/>
        <w:rPr>
          <w:rFonts w:ascii="Bookman Old Style" w:hAnsi="Bookman Old Style" w:cs="Segoe UI Light"/>
          <w:b/>
          <w:sz w:val="24"/>
          <w:lang w:val="en-GB"/>
        </w:rPr>
      </w:pPr>
    </w:p>
    <w:p w14:paraId="0EB510D3" w14:textId="00D52CBF" w:rsidR="00C45200" w:rsidRPr="00C45200" w:rsidRDefault="00C45200" w:rsidP="00C45200">
      <w:pPr>
        <w:pStyle w:val="Heading1"/>
        <w:numPr>
          <w:ilvl w:val="0"/>
          <w:numId w:val="0"/>
        </w:numPr>
        <w:spacing w:line="360" w:lineRule="auto"/>
        <w:rPr>
          <w:rFonts w:ascii="Bookman Old Style" w:hAnsi="Bookman Old Style"/>
          <w:sz w:val="24"/>
          <w:szCs w:val="24"/>
        </w:rPr>
      </w:pPr>
      <w:bookmarkStart w:id="14" w:name="_Toc211698284"/>
      <w:r w:rsidRPr="00C45200">
        <w:rPr>
          <w:rFonts w:ascii="Bookman Old Style" w:hAnsi="Bookman Old Style"/>
          <w:sz w:val="24"/>
          <w:szCs w:val="24"/>
        </w:rPr>
        <w:lastRenderedPageBreak/>
        <w:t>KM-07-KT04: Evaluation of learner progression (20%)</w:t>
      </w:r>
      <w:bookmarkEnd w:id="14"/>
    </w:p>
    <w:p w14:paraId="235A0546" w14:textId="77777777" w:rsidR="00C45200" w:rsidRPr="00C45200" w:rsidRDefault="00C45200" w:rsidP="00C45200">
      <w:pPr>
        <w:spacing w:line="360" w:lineRule="auto"/>
        <w:rPr>
          <w:rFonts w:ascii="Bookman Old Style" w:hAnsi="Bookman Old Style" w:cs="Segoe UI Light"/>
          <w:b/>
          <w:i/>
          <w:iCs/>
          <w:sz w:val="24"/>
          <w:lang w:val="en-GB"/>
        </w:rPr>
      </w:pPr>
      <w:r w:rsidRPr="00C45200">
        <w:rPr>
          <w:rFonts w:ascii="Bookman Old Style" w:hAnsi="Bookman Old Style" w:cs="Segoe UI Light"/>
          <w:b/>
          <w:i/>
          <w:iCs/>
          <w:sz w:val="24"/>
          <w:lang w:val="en-GB"/>
        </w:rPr>
        <w:t xml:space="preserve">Topic elements to be covered include: </w:t>
      </w:r>
    </w:p>
    <w:p w14:paraId="4F890C9F" w14:textId="2738FC1D" w:rsidR="00C45200" w:rsidRPr="00C45200" w:rsidRDefault="00C45200" w:rsidP="008A5553">
      <w:pPr>
        <w:pStyle w:val="ListParagraph"/>
        <w:numPr>
          <w:ilvl w:val="0"/>
          <w:numId w:val="33"/>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KT0401 Establishing evaluation tasks </w:t>
      </w:r>
    </w:p>
    <w:p w14:paraId="57B61776" w14:textId="5DE80893" w:rsidR="00C45200" w:rsidRPr="00C45200" w:rsidRDefault="00C45200" w:rsidP="008A5553">
      <w:pPr>
        <w:pStyle w:val="ListParagraph"/>
        <w:numPr>
          <w:ilvl w:val="0"/>
          <w:numId w:val="33"/>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KT0402 Evaluation criteria and standards </w:t>
      </w:r>
    </w:p>
    <w:p w14:paraId="7FAEF2B0" w14:textId="62BD8291" w:rsidR="00C45200" w:rsidRPr="00C45200" w:rsidRDefault="00C45200" w:rsidP="008A5553">
      <w:pPr>
        <w:pStyle w:val="ListParagraph"/>
        <w:numPr>
          <w:ilvl w:val="0"/>
          <w:numId w:val="33"/>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KT0403 Work based learning evidence </w:t>
      </w:r>
    </w:p>
    <w:p w14:paraId="75A14E8F" w14:textId="22E43069" w:rsidR="00C45200" w:rsidRDefault="00C45200" w:rsidP="008A5553">
      <w:pPr>
        <w:pStyle w:val="ListParagraph"/>
        <w:numPr>
          <w:ilvl w:val="0"/>
          <w:numId w:val="33"/>
        </w:numPr>
        <w:spacing w:line="360" w:lineRule="auto"/>
        <w:rPr>
          <w:rFonts w:ascii="Bookman Old Style" w:hAnsi="Bookman Old Style" w:cs="Segoe UI Light"/>
          <w:bCs/>
          <w:sz w:val="24"/>
          <w:lang w:val="en-GB"/>
        </w:rPr>
      </w:pPr>
      <w:r w:rsidRPr="00C45200">
        <w:rPr>
          <w:rFonts w:ascii="Bookman Old Style" w:hAnsi="Bookman Old Style" w:cs="Segoe UI Light"/>
          <w:bCs/>
          <w:sz w:val="24"/>
          <w:lang w:val="en-GB"/>
        </w:rPr>
        <w:t xml:space="preserve">KT0404 Documentation and reporting standards and requirements </w:t>
      </w:r>
    </w:p>
    <w:p w14:paraId="2721EC83" w14:textId="74F1AE5C" w:rsidR="00034F8B" w:rsidRDefault="00034F8B" w:rsidP="00034F8B">
      <w:pPr>
        <w:spacing w:line="360" w:lineRule="auto"/>
        <w:rPr>
          <w:rFonts w:ascii="Bookman Old Style" w:hAnsi="Bookman Old Style" w:cs="Segoe UI Light"/>
          <w:bCs/>
          <w:sz w:val="24"/>
          <w:lang w:val="en-GB"/>
        </w:rPr>
      </w:pPr>
    </w:p>
    <w:p w14:paraId="08049AC7" w14:textId="389BEBB4" w:rsidR="00034F8B" w:rsidRPr="00034F8B" w:rsidRDefault="00034F8B" w:rsidP="00034F8B">
      <w:pPr>
        <w:spacing w:line="360" w:lineRule="auto"/>
        <w:rPr>
          <w:rFonts w:ascii="Bookman Old Style" w:hAnsi="Bookman Old Style" w:cs="Segoe UI Light"/>
          <w:b/>
          <w:sz w:val="24"/>
          <w:u w:val="single"/>
          <w:lang w:val="en-GB"/>
        </w:rPr>
      </w:pPr>
      <w:r w:rsidRPr="00034F8B">
        <w:rPr>
          <w:rFonts w:ascii="Bookman Old Style" w:hAnsi="Bookman Old Style" w:cs="Segoe UI Light"/>
          <w:b/>
          <w:sz w:val="24"/>
          <w:u w:val="single"/>
          <w:lang w:val="en-GB"/>
        </w:rPr>
        <w:t xml:space="preserve">KT0401 Establishing evaluation tasks </w:t>
      </w:r>
    </w:p>
    <w:p w14:paraId="50AE23FE" w14:textId="735611C2"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rPr>
        <w:t>The evaluation of learner progression in Work-Based Learning (WBL) in South Africa, particularly within postgraduate Family Medicine (FM) training, involves a programmatic assessment model that utilizes various tools, with learning portfolios (LPs) playing a central role . This system aims to assess both "assessment for learning" (</w:t>
      </w:r>
      <w:proofErr w:type="spellStart"/>
      <w:r w:rsidRPr="00034F8B">
        <w:rPr>
          <w:rFonts w:ascii="Bookman Old Style" w:hAnsi="Bookman Old Style" w:cs="Segoe UI Light"/>
          <w:bCs/>
          <w:sz w:val="24"/>
        </w:rPr>
        <w:t>AfL</w:t>
      </w:r>
      <w:proofErr w:type="spellEnd"/>
      <w:r w:rsidRPr="00034F8B">
        <w:rPr>
          <w:rFonts w:ascii="Bookman Old Style" w:hAnsi="Bookman Old Style" w:cs="Segoe UI Light"/>
          <w:bCs/>
          <w:sz w:val="24"/>
        </w:rPr>
        <w:t>) and "assessment of learning" (</w:t>
      </w:r>
      <w:proofErr w:type="spellStart"/>
      <w:r w:rsidRPr="00034F8B">
        <w:rPr>
          <w:rFonts w:ascii="Bookman Old Style" w:hAnsi="Bookman Old Style" w:cs="Segoe UI Light"/>
          <w:bCs/>
          <w:sz w:val="24"/>
        </w:rPr>
        <w:t>AoL</w:t>
      </w:r>
      <w:proofErr w:type="spellEnd"/>
      <w:r w:rsidRPr="00034F8B">
        <w:rPr>
          <w:rFonts w:ascii="Bookman Old Style" w:hAnsi="Bookman Old Style" w:cs="Segoe UI Light"/>
          <w:bCs/>
          <w:sz w:val="24"/>
        </w:rPr>
        <w:t>) to ensure trainees develop the necessary skills and knowledge for socially accountable medical practice</w:t>
      </w:r>
      <w:r>
        <w:rPr>
          <w:rFonts w:ascii="Bookman Old Style" w:hAnsi="Bookman Old Style" w:cs="Segoe UI Light"/>
          <w:bCs/>
          <w:sz w:val="24"/>
        </w:rPr>
        <w:t>.</w:t>
      </w:r>
    </w:p>
    <w:p w14:paraId="0ECA216D"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Establishing Evaluation Tasks in Work-Based Learning in South Africa</w:t>
      </w:r>
    </w:p>
    <w:p w14:paraId="7B7102A0" w14:textId="391E116A"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The primary evaluation tasks in WBL for postgraduate FM training in South Africa are established through a programmatic assessment model . This model integrates multiple assessment methods to provide a holistic view of a registrar's (postgraduate medical trainee's) development over time .</w:t>
      </w:r>
    </w:p>
    <w:p w14:paraId="397E9E86"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Learning Portfolios (LPs)</w:t>
      </w:r>
    </w:p>
    <w:p w14:paraId="72C47780" w14:textId="4EF13C89"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Learning portfolios are a cornerstone of this evaluation system . They serve as a longitudinal tool to capture evidence of a registrar's personal and professional WBL . LPs include various components designed to track progress and provide feedback: Evidence of Workplace-Based Assessments (WPBAs): These are assessments conducted in authentic clinical settings, providing insights into a registrar's performance in real-world scenarios . WPBAs are crucial for assessing complex skills like professionalism, communication, teamwork, and clinical procedural skills  Learning Plans: Registrars are required to develop detailed </w:t>
      </w:r>
      <w:r w:rsidRPr="00034F8B">
        <w:rPr>
          <w:rFonts w:ascii="Bookman Old Style" w:hAnsi="Bookman Old Style" w:cs="Segoe UI Light"/>
          <w:bCs/>
          <w:sz w:val="24"/>
          <w:lang w:val="en-GB"/>
        </w:rPr>
        <w:lastRenderedPageBreak/>
        <w:t>learning plans that specify their learning needs, strategies to address these needs, and achieved goals . Supervisors are expected to assist in developing and supporting these plans . Educational Meetings and Direct Observations: Records of regular engagements between registrars and supervisors, including monthly meetings and dedicated training sessions, are documented in the LP </w:t>
      </w:r>
      <w:hyperlink r:id="rId15" w:anchor="fn:1" w:tooltip="see footnote" w:history="1">
        <w:r w:rsidRPr="00034F8B">
          <w:rPr>
            <w:rStyle w:val="Hyperlink"/>
            <w:rFonts w:ascii="Bookman Old Style" w:hAnsi="Bookman Old Style" w:cs="Segoe UI Light"/>
            <w:bCs/>
            <w:sz w:val="24"/>
            <w:vertAlign w:val="superscript"/>
            <w:lang w:val="en-GB"/>
          </w:rPr>
          <w:t>[1]</w:t>
        </w:r>
      </w:hyperlink>
      <w:r w:rsidRPr="00034F8B">
        <w:rPr>
          <w:rFonts w:ascii="Bookman Old Style" w:hAnsi="Bookman Old Style" w:cs="Segoe UI Light"/>
          <w:bCs/>
          <w:sz w:val="24"/>
          <w:lang w:val="en-GB"/>
        </w:rPr>
        <w:t>. These interactions often involve direct observation of clinical skills using tools like the mini-clinical evaluation exercise (mini-CEX) or direct observation of procedural skills (DOPS) . Written Assignments and Logbooks: LPs also contain written assignments and logbooks that track the acquisition of core and elective clinical skills across various domains, such as adult health, women's health, child health, and emergency care . Registrars self-assess their competence levels for these skills, which are then verified by supervisors . Certificates: Evidence of attending courses and meetings is also included in the LP .</w:t>
      </w:r>
    </w:p>
    <w:p w14:paraId="762953AC" w14:textId="77777777" w:rsidR="00034F8B" w:rsidRPr="00034F8B" w:rsidRDefault="00034F8B" w:rsidP="00034F8B">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Assessment for Learning (</w:t>
      </w:r>
      <w:proofErr w:type="spellStart"/>
      <w:r w:rsidRPr="00034F8B">
        <w:rPr>
          <w:rFonts w:ascii="Bookman Old Style" w:hAnsi="Bookman Old Style" w:cs="Segoe UI Light"/>
          <w:b/>
          <w:bCs/>
          <w:sz w:val="24"/>
          <w:lang w:val="en-GB"/>
        </w:rPr>
        <w:t>AfL</w:t>
      </w:r>
      <w:proofErr w:type="spellEnd"/>
      <w:r w:rsidRPr="00034F8B">
        <w:rPr>
          <w:rFonts w:ascii="Bookman Old Style" w:hAnsi="Bookman Old Style" w:cs="Segoe UI Light"/>
          <w:b/>
          <w:bCs/>
          <w:sz w:val="24"/>
          <w:lang w:val="en-GB"/>
        </w:rPr>
        <w:t>)</w:t>
      </w:r>
    </w:p>
    <w:p w14:paraId="07066A43" w14:textId="63E9790B" w:rsidR="00034F8B" w:rsidRPr="00034F8B" w:rsidRDefault="00034F8B" w:rsidP="005F62A4">
      <w:pPr>
        <w:spacing w:line="360" w:lineRule="auto"/>
        <w:rPr>
          <w:rFonts w:ascii="Bookman Old Style" w:hAnsi="Bookman Old Style" w:cs="Segoe UI Light"/>
          <w:bCs/>
          <w:sz w:val="24"/>
          <w:lang w:val="en-GB"/>
        </w:rPr>
      </w:pPr>
      <w:proofErr w:type="spellStart"/>
      <w:r w:rsidRPr="00034F8B">
        <w:rPr>
          <w:rFonts w:ascii="Bookman Old Style" w:hAnsi="Bookman Old Style" w:cs="Segoe UI Light"/>
          <w:bCs/>
          <w:sz w:val="24"/>
          <w:lang w:val="en-GB"/>
        </w:rPr>
        <w:t>AfL</w:t>
      </w:r>
      <w:proofErr w:type="spellEnd"/>
      <w:r w:rsidRPr="00034F8B">
        <w:rPr>
          <w:rFonts w:ascii="Bookman Old Style" w:hAnsi="Bookman Old Style" w:cs="Segoe UI Light"/>
          <w:bCs/>
          <w:sz w:val="24"/>
          <w:lang w:val="en-GB"/>
        </w:rPr>
        <w:t xml:space="preserve"> components are integrated into day-to-day clinical practice and aim to promote learning through continuous feedback . Key </w:t>
      </w:r>
      <w:proofErr w:type="spellStart"/>
      <w:r w:rsidRPr="00034F8B">
        <w:rPr>
          <w:rFonts w:ascii="Bookman Old Style" w:hAnsi="Bookman Old Style" w:cs="Segoe UI Light"/>
          <w:bCs/>
          <w:i/>
          <w:iCs/>
          <w:sz w:val="24"/>
          <w:lang w:val="en-GB"/>
        </w:rPr>
        <w:t>AfL</w:t>
      </w:r>
      <w:proofErr w:type="spellEnd"/>
      <w:r w:rsidRPr="00034F8B">
        <w:rPr>
          <w:rFonts w:ascii="Bookman Old Style" w:hAnsi="Bookman Old Style" w:cs="Segoe UI Light"/>
          <w:bCs/>
          <w:i/>
          <w:iCs/>
          <w:sz w:val="24"/>
          <w:lang w:val="en-GB"/>
        </w:rPr>
        <w:t xml:space="preserve"> tasks include:</w:t>
      </w:r>
      <w:r w:rsidR="005F62A4" w:rsidRPr="005F62A4">
        <w:rPr>
          <w:rFonts w:ascii="Bookman Old Style" w:hAnsi="Bookman Old Style" w:cs="Segoe UI Light"/>
          <w:bCs/>
          <w:sz w:val="24"/>
          <w:lang w:val="en-GB"/>
        </w:rPr>
        <w:t xml:space="preserve"> </w:t>
      </w:r>
      <w:r w:rsidRPr="00034F8B">
        <w:rPr>
          <w:rFonts w:ascii="Bookman Old Style" w:hAnsi="Bookman Old Style" w:cs="Segoe UI Light"/>
          <w:bCs/>
          <w:sz w:val="24"/>
          <w:lang w:val="en-GB"/>
        </w:rPr>
        <w:t xml:space="preserve">Workplace-Based Assessments (WPBAs): These are primarily formative, providing meaningful narrative feedback to enhance the learning </w:t>
      </w:r>
      <w:proofErr w:type="gramStart"/>
      <w:r w:rsidRPr="00034F8B">
        <w:rPr>
          <w:rFonts w:ascii="Bookman Old Style" w:hAnsi="Bookman Old Style" w:cs="Segoe UI Light"/>
          <w:bCs/>
          <w:sz w:val="24"/>
          <w:lang w:val="en-GB"/>
        </w:rPr>
        <w:t>experience .</w:t>
      </w:r>
      <w:proofErr w:type="gramEnd"/>
      <w:r w:rsidRPr="00034F8B">
        <w:rPr>
          <w:rFonts w:ascii="Bookman Old Style" w:hAnsi="Bookman Old Style" w:cs="Segoe UI Light"/>
          <w:bCs/>
          <w:sz w:val="24"/>
          <w:lang w:val="en-GB"/>
        </w:rPr>
        <w:t xml:space="preserve"> Examples include mini-CEX and DOPS, which are used during weekly training sessions at district regional training </w:t>
      </w:r>
      <w:r w:rsidR="005F62A4" w:rsidRPr="005F62A4">
        <w:rPr>
          <w:rFonts w:ascii="Bookman Old Style" w:hAnsi="Bookman Old Style" w:cs="Segoe UI Light"/>
          <w:bCs/>
          <w:sz w:val="24"/>
          <w:lang w:val="en-GB"/>
        </w:rPr>
        <w:t>centres</w:t>
      </w:r>
      <w:r w:rsidRPr="00034F8B">
        <w:rPr>
          <w:rFonts w:ascii="Bookman Old Style" w:hAnsi="Bookman Old Style" w:cs="Segoe UI Light"/>
          <w:bCs/>
          <w:sz w:val="24"/>
          <w:lang w:val="en-GB"/>
        </w:rPr>
        <w:t> .</w:t>
      </w:r>
      <w:r w:rsidR="005F62A4" w:rsidRPr="005F62A4">
        <w:rPr>
          <w:rFonts w:ascii="Bookman Old Style" w:hAnsi="Bookman Old Style" w:cs="Segoe UI Light"/>
          <w:bCs/>
          <w:sz w:val="24"/>
          <w:lang w:val="en-GB"/>
        </w:rPr>
        <w:t xml:space="preserve"> </w:t>
      </w:r>
      <w:r w:rsidRPr="00034F8B">
        <w:rPr>
          <w:rFonts w:ascii="Bookman Old Style" w:hAnsi="Bookman Old Style" w:cs="Segoe UI Light"/>
          <w:bCs/>
          <w:sz w:val="24"/>
          <w:lang w:val="en-GB"/>
        </w:rPr>
        <w:t>Quarterly Assessments (QAs): These involve observed consultations or procedures evaluated by a supervisor from another district </w:t>
      </w:r>
      <w:hyperlink r:id="rId16" w:anchor="fn:1" w:tooltip="see footnote" w:history="1">
        <w:r w:rsidRPr="00034F8B">
          <w:rPr>
            <w:rStyle w:val="Hyperlink"/>
            <w:rFonts w:ascii="Bookman Old Style" w:hAnsi="Bookman Old Style" w:cs="Segoe UI Light"/>
            <w:bCs/>
            <w:sz w:val="24"/>
            <w:vertAlign w:val="superscript"/>
            <w:lang w:val="en-GB"/>
          </w:rPr>
          <w:t>[1]</w:t>
        </w:r>
      </w:hyperlink>
      <w:r w:rsidRPr="00034F8B">
        <w:rPr>
          <w:rFonts w:ascii="Bookman Old Style" w:hAnsi="Bookman Old Style" w:cs="Segoe UI Light"/>
          <w:bCs/>
          <w:sz w:val="24"/>
          <w:lang w:val="en-GB"/>
        </w:rPr>
        <w:t>. QA scores contribute to the annual registrar progression decisions, alongside the overall LP scores </w:t>
      </w:r>
      <w:r w:rsidR="005F62A4" w:rsidRPr="005F62A4">
        <w:rPr>
          <w:rFonts w:ascii="Bookman Old Style" w:hAnsi="Bookman Old Style" w:cs="Segoe UI Light"/>
          <w:bCs/>
          <w:sz w:val="24"/>
          <w:lang w:val="en-GB"/>
        </w:rPr>
        <w:t>.</w:t>
      </w:r>
      <w:r w:rsidRPr="00034F8B">
        <w:rPr>
          <w:rFonts w:ascii="Bookman Old Style" w:hAnsi="Bookman Old Style" w:cs="Segoe UI Light"/>
          <w:bCs/>
          <w:sz w:val="24"/>
          <w:lang w:val="en-GB"/>
        </w:rPr>
        <w:t>Self-Assessment: Registrars regularly self-assess their competence levels for various skills in their logbooks . While self-assessment can be prone to over- or under-reporting, it is a feasible method for reporting perceived competence and is verified by supervisors .</w:t>
      </w:r>
    </w:p>
    <w:p w14:paraId="1C2751BA" w14:textId="77777777" w:rsidR="00034F8B" w:rsidRPr="00034F8B" w:rsidRDefault="00034F8B" w:rsidP="005F62A4">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Assessment of Learning (</w:t>
      </w:r>
      <w:proofErr w:type="spellStart"/>
      <w:r w:rsidRPr="00034F8B">
        <w:rPr>
          <w:rFonts w:ascii="Bookman Old Style" w:hAnsi="Bookman Old Style" w:cs="Segoe UI Light"/>
          <w:b/>
          <w:bCs/>
          <w:sz w:val="24"/>
          <w:lang w:val="en-GB"/>
        </w:rPr>
        <w:t>AoL</w:t>
      </w:r>
      <w:proofErr w:type="spellEnd"/>
      <w:r w:rsidRPr="00034F8B">
        <w:rPr>
          <w:rFonts w:ascii="Bookman Old Style" w:hAnsi="Bookman Old Style" w:cs="Segoe UI Light"/>
          <w:b/>
          <w:bCs/>
          <w:sz w:val="24"/>
          <w:lang w:val="en-GB"/>
        </w:rPr>
        <w:t>)</w:t>
      </w:r>
    </w:p>
    <w:p w14:paraId="064EA326" w14:textId="2E2D4482" w:rsidR="00034F8B" w:rsidRPr="00034F8B" w:rsidRDefault="00034F8B" w:rsidP="005F62A4">
      <w:pPr>
        <w:spacing w:line="360" w:lineRule="auto"/>
        <w:rPr>
          <w:rFonts w:ascii="Bookman Old Style" w:hAnsi="Bookman Old Style" w:cs="Segoe UI Light"/>
          <w:bCs/>
          <w:sz w:val="24"/>
          <w:lang w:val="en-GB"/>
        </w:rPr>
      </w:pPr>
      <w:proofErr w:type="spellStart"/>
      <w:r w:rsidRPr="00034F8B">
        <w:rPr>
          <w:rFonts w:ascii="Bookman Old Style" w:hAnsi="Bookman Old Style" w:cs="Segoe UI Light"/>
          <w:bCs/>
          <w:sz w:val="24"/>
          <w:lang w:val="en-GB"/>
        </w:rPr>
        <w:t>AoL</w:t>
      </w:r>
      <w:proofErr w:type="spellEnd"/>
      <w:r w:rsidRPr="00034F8B">
        <w:rPr>
          <w:rFonts w:ascii="Bookman Old Style" w:hAnsi="Bookman Old Style" w:cs="Segoe UI Light"/>
          <w:bCs/>
          <w:sz w:val="24"/>
          <w:lang w:val="en-GB"/>
        </w:rPr>
        <w:t xml:space="preserve"> focuses on high-stakes assessments to determine the achievement of learning outcomes at the end of a program, primarily for accountability and certification . </w:t>
      </w:r>
      <w:r w:rsidRPr="00034F8B">
        <w:rPr>
          <w:rFonts w:ascii="Bookman Old Style" w:hAnsi="Bookman Old Style" w:cs="Segoe UI Light"/>
          <w:bCs/>
          <w:i/>
          <w:iCs/>
          <w:sz w:val="24"/>
          <w:lang w:val="en-GB"/>
        </w:rPr>
        <w:t xml:space="preserve">These </w:t>
      </w:r>
      <w:r w:rsidR="005F62A4" w:rsidRPr="00034F8B">
        <w:rPr>
          <w:rFonts w:ascii="Bookman Old Style" w:hAnsi="Bookman Old Style" w:cs="Segoe UI Light"/>
          <w:bCs/>
          <w:i/>
          <w:iCs/>
          <w:sz w:val="24"/>
          <w:lang w:val="en-GB"/>
        </w:rPr>
        <w:t>include</w:t>
      </w:r>
      <w:r w:rsidR="005F62A4" w:rsidRPr="005F62A4">
        <w:rPr>
          <w:rFonts w:ascii="Bookman Old Style" w:hAnsi="Bookman Old Style" w:cs="Segoe UI Light"/>
          <w:bCs/>
          <w:sz w:val="24"/>
          <w:lang w:val="en-GB"/>
        </w:rPr>
        <w:t xml:space="preserve"> </w:t>
      </w:r>
      <w:r w:rsidRPr="00034F8B">
        <w:rPr>
          <w:rFonts w:ascii="Bookman Old Style" w:hAnsi="Bookman Old Style" w:cs="Segoe UI Light"/>
          <w:bCs/>
          <w:sz w:val="24"/>
          <w:lang w:val="en-GB"/>
        </w:rPr>
        <w:t xml:space="preserve">University Examinations: Conducted at 18 months into the training </w:t>
      </w:r>
      <w:r w:rsidRPr="00034F8B">
        <w:rPr>
          <w:rFonts w:ascii="Bookman Old Style" w:hAnsi="Bookman Old Style" w:cs="Segoe UI Light"/>
          <w:bCs/>
          <w:sz w:val="24"/>
          <w:lang w:val="en-GB"/>
        </w:rPr>
        <w:lastRenderedPageBreak/>
        <w:t>program </w:t>
      </w:r>
      <w:r w:rsidR="005F62A4" w:rsidRPr="005F62A4">
        <w:rPr>
          <w:rFonts w:ascii="Bookman Old Style" w:hAnsi="Bookman Old Style" w:cs="Segoe UI Light"/>
          <w:bCs/>
          <w:sz w:val="24"/>
          <w:lang w:val="en-GB"/>
        </w:rPr>
        <w:t>.</w:t>
      </w:r>
      <w:r w:rsidRPr="00034F8B">
        <w:rPr>
          <w:rFonts w:ascii="Bookman Old Style" w:hAnsi="Bookman Old Style" w:cs="Segoe UI Light"/>
          <w:bCs/>
          <w:sz w:val="24"/>
          <w:lang w:val="en-GB"/>
        </w:rPr>
        <w:t>National Exit Examination: This is the final high-stakes assessment towards specialist qualification, taken after at least three years of training . Registrars must achieve a subminimum of 60% in their LP for each of the three years to qualify for this examination .</w:t>
      </w:r>
    </w:p>
    <w:p w14:paraId="11D59085" w14:textId="77777777" w:rsidR="00034F8B" w:rsidRPr="00034F8B" w:rsidRDefault="00034F8B" w:rsidP="005F62A4">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Influence of Context</w:t>
      </w:r>
    </w:p>
    <w:p w14:paraId="4915FC22" w14:textId="0981993C"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 xml:space="preserve">The effectiveness of these evaluation tasks is influenced by factors such as the training district and the year of training . For instance, registrars in their third year generally report higher self-assessed competence levels . However, variations exist, with some core skills showing lower competence levels even in later years, highlighting the need for adequate exposure to learning opportunities and potentially a revision of the skills list to be more </w:t>
      </w:r>
      <w:r w:rsidR="005F62A4" w:rsidRPr="00034F8B">
        <w:rPr>
          <w:rFonts w:ascii="Bookman Old Style" w:hAnsi="Bookman Old Style" w:cs="Segoe UI Light"/>
          <w:bCs/>
          <w:sz w:val="24"/>
          <w:lang w:val="en-GB"/>
        </w:rPr>
        <w:t>context specific</w:t>
      </w:r>
      <w:r w:rsidRPr="00034F8B">
        <w:rPr>
          <w:rFonts w:ascii="Bookman Old Style" w:hAnsi="Bookman Old Style" w:cs="Segoe UI Light"/>
          <w:bCs/>
          <w:sz w:val="24"/>
          <w:lang w:val="en-GB"/>
        </w:rPr>
        <w:t> . The availability of resources and the density of medical professionals also vary significantly across districts, impacting training experiences .</w:t>
      </w:r>
    </w:p>
    <w:p w14:paraId="6B767892" w14:textId="77777777" w:rsidR="00034F8B" w:rsidRPr="00034F8B" w:rsidRDefault="00034F8B" w:rsidP="005F62A4">
      <w:pPr>
        <w:spacing w:line="360" w:lineRule="auto"/>
        <w:rPr>
          <w:rFonts w:ascii="Bookman Old Style" w:hAnsi="Bookman Old Style" w:cs="Segoe UI Light"/>
          <w:b/>
          <w:bCs/>
          <w:sz w:val="24"/>
          <w:lang w:val="en-GB"/>
        </w:rPr>
      </w:pPr>
      <w:r w:rsidRPr="00034F8B">
        <w:rPr>
          <w:rFonts w:ascii="Bookman Old Style" w:hAnsi="Bookman Old Style" w:cs="Segoe UI Light"/>
          <w:b/>
          <w:bCs/>
          <w:sz w:val="24"/>
          <w:lang w:val="en-GB"/>
        </w:rPr>
        <w:t>Challenges and Recommendations</w:t>
      </w:r>
    </w:p>
    <w:p w14:paraId="7E86A03E" w14:textId="0E1D7939" w:rsidR="00034F8B" w:rsidRPr="00034F8B" w:rsidRDefault="00034F8B" w:rsidP="00034F8B">
      <w:pPr>
        <w:spacing w:line="360" w:lineRule="auto"/>
        <w:rPr>
          <w:rFonts w:ascii="Bookman Old Style" w:hAnsi="Bookman Old Style" w:cs="Segoe UI Light"/>
          <w:bCs/>
          <w:sz w:val="24"/>
          <w:lang w:val="en-GB"/>
        </w:rPr>
      </w:pPr>
      <w:r w:rsidRPr="00034F8B">
        <w:rPr>
          <w:rFonts w:ascii="Bookman Old Style" w:hAnsi="Bookman Old Style" w:cs="Segoe UI Light"/>
          <w:bCs/>
          <w:sz w:val="24"/>
          <w:lang w:val="en-GB"/>
        </w:rPr>
        <w:t>Despite the benefits, challenges exist, such as lenient scoring in LPs, inadequate narrative feedback, and registrars focusing on merely completing sections rather than utilizing them as effective learning tools </w:t>
      </w:r>
      <w:r w:rsidR="005F62A4" w:rsidRPr="005F62A4">
        <w:rPr>
          <w:rFonts w:ascii="Bookman Old Style" w:hAnsi="Bookman Old Style" w:cs="Segoe UI Light"/>
          <w:bCs/>
          <w:sz w:val="24"/>
          <w:lang w:val="en-GB"/>
        </w:rPr>
        <w:t>.</w:t>
      </w:r>
      <w:r w:rsidRPr="00034F8B">
        <w:rPr>
          <w:rFonts w:ascii="Bookman Old Style" w:hAnsi="Bookman Old Style" w:cs="Segoe UI Light"/>
          <w:bCs/>
          <w:sz w:val="24"/>
          <w:lang w:val="en-GB"/>
        </w:rPr>
        <w:t xml:space="preserve"> Recommendations to improve the effectiveness of evaluation tasks include:</w:t>
      </w:r>
      <w:r w:rsidR="005F62A4" w:rsidRPr="005F62A4">
        <w:rPr>
          <w:rFonts w:ascii="Bookman Old Style" w:hAnsi="Bookman Old Style" w:cs="Segoe UI Light"/>
          <w:bCs/>
          <w:sz w:val="24"/>
          <w:lang w:val="en-GB"/>
        </w:rPr>
        <w:t xml:space="preserve"> </w:t>
      </w:r>
      <w:r w:rsidRPr="00034F8B">
        <w:rPr>
          <w:rFonts w:ascii="Bookman Old Style" w:hAnsi="Bookman Old Style" w:cs="Segoe UI Light"/>
          <w:bCs/>
          <w:sz w:val="24"/>
          <w:lang w:val="en-GB"/>
        </w:rPr>
        <w:t>Faculty Development and Registrar Training: To enhance supervisors' ability to mentor effectively and improve registrars' self-directed learning </w:t>
      </w:r>
      <w:r w:rsidR="005F62A4" w:rsidRPr="005F62A4">
        <w:rPr>
          <w:rFonts w:ascii="Bookman Old Style" w:hAnsi="Bookman Old Style" w:cs="Segoe UI Light"/>
          <w:bCs/>
          <w:sz w:val="24"/>
          <w:lang w:val="en-GB"/>
        </w:rPr>
        <w:t>.</w:t>
      </w:r>
      <w:r w:rsidRPr="00034F8B">
        <w:rPr>
          <w:rFonts w:ascii="Bookman Old Style" w:hAnsi="Bookman Old Style" w:cs="Segoe UI Light"/>
          <w:bCs/>
          <w:sz w:val="24"/>
          <w:lang w:val="en-GB"/>
        </w:rPr>
        <w:t>Multiple Assessments: Incorporating diverse assessments of both hard and soft skills from various assessors and contexts </w:t>
      </w:r>
      <w:r w:rsidR="005F62A4" w:rsidRPr="005F62A4">
        <w:rPr>
          <w:rFonts w:ascii="Bookman Old Style" w:hAnsi="Bookman Old Style" w:cs="Segoe UI Light"/>
          <w:bCs/>
          <w:sz w:val="24"/>
          <w:lang w:val="en-GB"/>
        </w:rPr>
        <w:t>.</w:t>
      </w:r>
      <w:r w:rsidRPr="00034F8B">
        <w:rPr>
          <w:rFonts w:ascii="Bookman Old Style" w:hAnsi="Bookman Old Style" w:cs="Segoe UI Light"/>
          <w:bCs/>
          <w:sz w:val="24"/>
          <w:lang w:val="en-GB"/>
        </w:rPr>
        <w:t>Formative Feedback: Providing regular and adequate formative feedback to augment learning opportunities </w:t>
      </w:r>
      <w:r w:rsidR="005F62A4" w:rsidRPr="005F62A4">
        <w:rPr>
          <w:rFonts w:ascii="Bookman Old Style" w:hAnsi="Bookman Old Style" w:cs="Segoe UI Light"/>
          <w:bCs/>
          <w:sz w:val="24"/>
          <w:lang w:val="en-GB"/>
        </w:rPr>
        <w:t>.</w:t>
      </w:r>
      <w:r w:rsidRPr="00034F8B">
        <w:rPr>
          <w:rFonts w:ascii="Bookman Old Style" w:hAnsi="Bookman Old Style" w:cs="Segoe UI Light"/>
          <w:bCs/>
          <w:sz w:val="24"/>
          <w:lang w:val="en-GB"/>
        </w:rPr>
        <w:t>Regular Formative Assessment Visits: By faculty program managers to maintain WPBA standards </w:t>
      </w:r>
      <w:r w:rsidR="005F62A4" w:rsidRPr="005F62A4">
        <w:rPr>
          <w:rFonts w:ascii="Bookman Old Style" w:hAnsi="Bookman Old Style" w:cs="Segoe UI Light"/>
          <w:bCs/>
          <w:sz w:val="24"/>
          <w:lang w:val="en-GB"/>
        </w:rPr>
        <w:t>.</w:t>
      </w:r>
      <w:r w:rsidRPr="00034F8B">
        <w:rPr>
          <w:rFonts w:ascii="Bookman Old Style" w:hAnsi="Bookman Old Style" w:cs="Segoe UI Light"/>
          <w:bCs/>
          <w:sz w:val="24"/>
          <w:lang w:val="en-GB"/>
        </w:rPr>
        <w:t>Electronic Portfolios: These are associated with better completion rates, improved quality of scoring, and sustained supervisor-registrar engagement .</w:t>
      </w:r>
      <w:r w:rsidR="005F62A4" w:rsidRPr="005F62A4">
        <w:rPr>
          <w:rFonts w:ascii="Bookman Old Style" w:hAnsi="Bookman Old Style" w:cs="Segoe UI Light"/>
          <w:bCs/>
          <w:sz w:val="24"/>
          <w:lang w:val="en-GB"/>
        </w:rPr>
        <w:t xml:space="preserve"> </w:t>
      </w:r>
      <w:r w:rsidRPr="00034F8B">
        <w:rPr>
          <w:rFonts w:ascii="Bookman Old Style" w:hAnsi="Bookman Old Style" w:cs="Segoe UI Light"/>
          <w:bCs/>
          <w:sz w:val="24"/>
          <w:lang w:val="en-GB"/>
        </w:rPr>
        <w:t>The overall goal of these evaluation tasks is to ensure that medical training develops socially accountable health professionals with the required skills to address the priority health concerns of the communities they serve</w:t>
      </w:r>
    </w:p>
    <w:p w14:paraId="1271F4FA" w14:textId="77777777" w:rsidR="00034F8B" w:rsidRPr="00034F8B" w:rsidRDefault="00034F8B" w:rsidP="00034F8B">
      <w:pPr>
        <w:spacing w:line="360" w:lineRule="auto"/>
        <w:rPr>
          <w:rFonts w:ascii="Bookman Old Style" w:hAnsi="Bookman Old Style" w:cs="Segoe UI Light"/>
          <w:bCs/>
          <w:sz w:val="24"/>
          <w:lang w:val="en-GB"/>
        </w:rPr>
      </w:pPr>
    </w:p>
    <w:p w14:paraId="33B27659" w14:textId="1BC03A74" w:rsidR="00034F8B" w:rsidRPr="005F62A4" w:rsidRDefault="00034F8B" w:rsidP="00034F8B">
      <w:pPr>
        <w:spacing w:line="360" w:lineRule="auto"/>
        <w:rPr>
          <w:rFonts w:ascii="Bookman Old Style" w:hAnsi="Bookman Old Style" w:cs="Segoe UI Light"/>
          <w:b/>
          <w:sz w:val="24"/>
          <w:u w:val="single"/>
          <w:lang w:val="en-GB"/>
        </w:rPr>
      </w:pPr>
      <w:r w:rsidRPr="005F62A4">
        <w:rPr>
          <w:rFonts w:ascii="Bookman Old Style" w:hAnsi="Bookman Old Style" w:cs="Segoe UI Light"/>
          <w:b/>
          <w:sz w:val="24"/>
          <w:u w:val="single"/>
          <w:lang w:val="en-GB"/>
        </w:rPr>
        <w:lastRenderedPageBreak/>
        <w:t xml:space="preserve">KT0402 Evaluation criteria and standards </w:t>
      </w:r>
    </w:p>
    <w:p w14:paraId="2C925730" w14:textId="48768A54" w:rsidR="005F62A4" w:rsidRPr="005F62A4" w:rsidRDefault="005F62A4" w:rsidP="00034F8B">
      <w:pPr>
        <w:spacing w:line="360" w:lineRule="auto"/>
        <w:rPr>
          <w:rFonts w:ascii="Bookman Old Style" w:hAnsi="Bookman Old Style" w:cs="Segoe UI Light"/>
          <w:bCs/>
          <w:sz w:val="24"/>
          <w:lang w:val="en-GB"/>
        </w:rPr>
      </w:pPr>
      <w:r w:rsidRPr="005F62A4">
        <w:rPr>
          <w:rFonts w:ascii="Bookman Old Style" w:hAnsi="Bookman Old Style" w:cs="Segoe UI Light"/>
          <w:bCs/>
          <w:sz w:val="24"/>
        </w:rPr>
        <w:t>Work-based learning (WBL) in South Africa is a critical component of skills development, aiming to bridge the gap between education and industry needs. The evaluation of learner progression within these programs is multifaceted, encompassing various criteria and standards to ensure effectiveness and quality. </w:t>
      </w:r>
      <w:r w:rsidRPr="005F62A4">
        <w:rPr>
          <w:rFonts w:ascii="Bookman Old Style" w:hAnsi="Bookman Old Style" w:cs="Segoe UI Light"/>
          <w:b/>
          <w:bCs/>
          <w:sz w:val="24"/>
        </w:rPr>
        <w:t>Key evaluation criteria often include the achievement of specific learning outcomes, demonstration of practical skills, adherence to workplace standards, and the development of professional competencies.</w:t>
      </w:r>
      <w:r w:rsidRPr="005F62A4">
        <w:rPr>
          <w:rFonts w:ascii="Bookman Old Style" w:hAnsi="Bookman Old Style" w:cs="Segoe UI Light"/>
          <w:bCs/>
          <w:sz w:val="24"/>
        </w:rPr>
        <w:t>  These criteria are typically aligned with national qualification frameworks and industry-specific requirements.</w:t>
      </w:r>
    </w:p>
    <w:p w14:paraId="02F9EE75" w14:textId="1A547C01" w:rsidR="005F62A4" w:rsidRPr="005F62A4" w:rsidRDefault="005F62A4" w:rsidP="005F62A4">
      <w:pPr>
        <w:spacing w:line="360" w:lineRule="auto"/>
        <w:rPr>
          <w:rFonts w:ascii="Bookman Old Style" w:hAnsi="Bookman Old Style" w:cs="Segoe UI Light"/>
          <w:bCs/>
          <w:sz w:val="24"/>
          <w:lang w:val="en-GB"/>
        </w:rPr>
      </w:pPr>
      <w:r w:rsidRPr="005F62A4">
        <w:rPr>
          <w:rFonts w:ascii="Bookman Old Style" w:hAnsi="Bookman Old Style" w:cs="Segoe UI Light"/>
          <w:bCs/>
          <w:sz w:val="24"/>
          <w:lang w:val="en-GB"/>
        </w:rPr>
        <w:t>The evaluation process in South African WBL environments frequently involves a combination of formal and informal assessments. Formal assessments might include written examinations, practical demonstrations, portfolio submissions, and structured interviews.  Informal assessments, on the other hand, often involve continuous observation by workplace mentors or supervisors, feedback sessions, and peer evaluations.  The </w:t>
      </w:r>
      <w:r w:rsidRPr="005F62A4">
        <w:rPr>
          <w:rFonts w:ascii="Bookman Old Style" w:hAnsi="Bookman Old Style" w:cs="Segoe UI Light"/>
          <w:b/>
          <w:bCs/>
          <w:sz w:val="24"/>
          <w:lang w:val="en-GB"/>
        </w:rPr>
        <w:t>standards for evaluation are often set by Sector Education and Training Authorities (SETAs)</w:t>
      </w:r>
      <w:r w:rsidRPr="005F62A4">
        <w:rPr>
          <w:rFonts w:ascii="Bookman Old Style" w:hAnsi="Bookman Old Style" w:cs="Segoe UI Light"/>
          <w:bCs/>
          <w:sz w:val="24"/>
          <w:lang w:val="en-GB"/>
        </w:rPr>
        <w:t xml:space="preserve">, which play a crucial role in developing and implementing occupational qualifications and curricula.  These standards ensure consistency and quality across different WBL programs and institutions. For instance, the National Qualifications Framework (NQF) provides a framework for recognizing and registering qualifications, ensuring that WBL programs meet specific learning outcomes and assessment criteria.  </w:t>
      </w:r>
    </w:p>
    <w:p w14:paraId="493DAB50" w14:textId="4F33E595" w:rsidR="005F62A4" w:rsidRPr="005F62A4" w:rsidRDefault="005F62A4" w:rsidP="005F62A4">
      <w:pPr>
        <w:spacing w:line="360" w:lineRule="auto"/>
        <w:rPr>
          <w:rFonts w:ascii="Bookman Old Style" w:hAnsi="Bookman Old Style" w:cs="Segoe UI Light"/>
          <w:bCs/>
          <w:sz w:val="24"/>
          <w:lang w:val="en-GB"/>
        </w:rPr>
      </w:pPr>
      <w:r w:rsidRPr="005F62A4">
        <w:rPr>
          <w:rFonts w:ascii="Bookman Old Style" w:hAnsi="Bookman Old Style" w:cs="Segoe UI Light"/>
          <w:bCs/>
          <w:sz w:val="24"/>
          <w:lang w:val="en-GB"/>
        </w:rPr>
        <w:t>Furthermore, the evaluation of learner progression in WBL in South Africa also considers the development of soft skills, such as communication, teamwork, problem-solving, and adaptability, which are highly valued in the modern workplace.  The assessment of these skills often relies on observational data and feedback from supervisors and colleagues. The </w:t>
      </w:r>
      <w:r w:rsidRPr="005F62A4">
        <w:rPr>
          <w:rFonts w:ascii="Bookman Old Style" w:hAnsi="Bookman Old Style" w:cs="Segoe UI Light"/>
          <w:b/>
          <w:bCs/>
          <w:sz w:val="24"/>
          <w:lang w:val="en-GB"/>
        </w:rPr>
        <w:t>use of logbooks and reflective journals is also a common practice</w:t>
      </w:r>
      <w:r w:rsidRPr="005F62A4">
        <w:rPr>
          <w:rFonts w:ascii="Bookman Old Style" w:hAnsi="Bookman Old Style" w:cs="Segoe UI Light"/>
          <w:bCs/>
          <w:sz w:val="24"/>
          <w:lang w:val="en-GB"/>
        </w:rPr>
        <w:t xml:space="preserve">, allowing learners to document their experiences, challenges, and learning insights, which can then be used as part of their overall assessment.  The ultimate goal of these evaluation methods is to </w:t>
      </w:r>
      <w:r w:rsidRPr="005F62A4">
        <w:rPr>
          <w:rFonts w:ascii="Bookman Old Style" w:hAnsi="Bookman Old Style" w:cs="Segoe UI Light"/>
          <w:bCs/>
          <w:sz w:val="24"/>
          <w:lang w:val="en-GB"/>
        </w:rPr>
        <w:lastRenderedPageBreak/>
        <w:t>ensure that learners are not only acquiring technical skills but also developing into well-rounded, competent professionals ready for the demands of the South African labour market.</w:t>
      </w:r>
    </w:p>
    <w:p w14:paraId="5B933571" w14:textId="77777777" w:rsidR="005F62A4" w:rsidRPr="005F62A4" w:rsidRDefault="005F62A4" w:rsidP="00034F8B">
      <w:pPr>
        <w:spacing w:line="360" w:lineRule="auto"/>
        <w:rPr>
          <w:rFonts w:ascii="Bookman Old Style" w:hAnsi="Bookman Old Style" w:cs="Segoe UI Light"/>
          <w:bCs/>
          <w:sz w:val="24"/>
          <w:lang w:val="en-GB"/>
        </w:rPr>
      </w:pPr>
    </w:p>
    <w:p w14:paraId="6072F4B2" w14:textId="3625E038" w:rsidR="00034F8B" w:rsidRPr="005F62A4" w:rsidRDefault="00034F8B" w:rsidP="00034F8B">
      <w:pPr>
        <w:spacing w:line="360" w:lineRule="auto"/>
        <w:rPr>
          <w:rFonts w:ascii="Bookman Old Style" w:hAnsi="Bookman Old Style" w:cs="Segoe UI Light"/>
          <w:b/>
          <w:sz w:val="24"/>
          <w:u w:val="single"/>
          <w:lang w:val="en-GB"/>
        </w:rPr>
      </w:pPr>
      <w:r w:rsidRPr="005F62A4">
        <w:rPr>
          <w:rFonts w:ascii="Bookman Old Style" w:hAnsi="Bookman Old Style" w:cs="Segoe UI Light"/>
          <w:b/>
          <w:sz w:val="24"/>
          <w:u w:val="single"/>
          <w:lang w:val="en-GB"/>
        </w:rPr>
        <w:t xml:space="preserve">KT0403 Work based learning evidence </w:t>
      </w:r>
    </w:p>
    <w:p w14:paraId="6617A47A" w14:textId="2120D741" w:rsidR="005F62A4" w:rsidRPr="005F62A4" w:rsidRDefault="005F62A4" w:rsidP="00034F8B">
      <w:pPr>
        <w:spacing w:line="360" w:lineRule="auto"/>
        <w:rPr>
          <w:rFonts w:ascii="Bookman Old Style" w:hAnsi="Bookman Old Style" w:cs="Segoe UI Light"/>
          <w:bCs/>
          <w:sz w:val="24"/>
          <w:lang w:val="en-GB"/>
        </w:rPr>
      </w:pPr>
      <w:r w:rsidRPr="005F62A4">
        <w:rPr>
          <w:rFonts w:ascii="Bookman Old Style" w:hAnsi="Bookman Old Style" w:cs="Segoe UI Light"/>
          <w:bCs/>
          <w:sz w:val="24"/>
        </w:rPr>
        <w:t>Work-based learning (WBL) in South Africa is a critical component of skills development, aiming to bridge the gap between education and industry needs. The evaluation of learner progression within these programs is multifaceted, encompassing various criteria and standards to ensure effectiveness and quality. Key evaluation criteria often include the achievement of specific learning outcomes, demonstration of practical skills, adherence to workplace standards, and the development of professional competencies.  These criteria are typically aligned with national qualification frameworks and industry-specific requirements.</w:t>
      </w:r>
    </w:p>
    <w:p w14:paraId="085E63E1" w14:textId="1BE9CC9E" w:rsidR="005F62A4" w:rsidRPr="005F62A4" w:rsidRDefault="005F62A4" w:rsidP="005F62A4">
      <w:pPr>
        <w:spacing w:line="360" w:lineRule="auto"/>
        <w:rPr>
          <w:rFonts w:ascii="Bookman Old Style" w:hAnsi="Bookman Old Style" w:cs="Segoe UI Light"/>
          <w:bCs/>
          <w:sz w:val="24"/>
          <w:lang w:val="en-GB"/>
        </w:rPr>
      </w:pPr>
      <w:r w:rsidRPr="005F62A4">
        <w:rPr>
          <w:rFonts w:ascii="Bookman Old Style" w:hAnsi="Bookman Old Style" w:cs="Segoe UI Light"/>
          <w:bCs/>
          <w:sz w:val="24"/>
          <w:lang w:val="en-GB"/>
        </w:rPr>
        <w:t>The evaluation process in South African WBL environments frequently involves a combination of formal and informal assessments. Formal assessments might include written examinations, practical demonstrations, portfolio submissions, and structured interviews.  Informal assessments, on the other hand, often involve continuous observation by workplace mentors or supervisors, feedback sessions, and peer evaluations.  The </w:t>
      </w:r>
      <w:r w:rsidRPr="005F62A4">
        <w:rPr>
          <w:rFonts w:ascii="Bookman Old Style" w:hAnsi="Bookman Old Style" w:cs="Segoe UI Light"/>
          <w:b/>
          <w:bCs/>
          <w:sz w:val="24"/>
          <w:lang w:val="en-GB"/>
        </w:rPr>
        <w:t>standards for evaluation are often set by Sector Education and Training Authorities (SETAs)</w:t>
      </w:r>
      <w:r w:rsidRPr="005F62A4">
        <w:rPr>
          <w:rFonts w:ascii="Bookman Old Style" w:hAnsi="Bookman Old Style" w:cs="Segoe UI Light"/>
          <w:bCs/>
          <w:sz w:val="24"/>
          <w:lang w:val="en-GB"/>
        </w:rPr>
        <w:t xml:space="preserve">, which play a crucial role in developing and implementing occupational qualifications and curricula.  These standards ensure consistency and quality across different WBL programs and institutions. For instance, the National Qualifications Framework (NQF) provides a framework for recognizing and registering qualifications, ensuring that WBL programs meet specific learning outcomes and assessment criteria.  </w:t>
      </w:r>
    </w:p>
    <w:p w14:paraId="282A5A6C" w14:textId="7F87A03D" w:rsidR="005F62A4" w:rsidRPr="005F62A4" w:rsidRDefault="005F62A4" w:rsidP="005F62A4">
      <w:pPr>
        <w:spacing w:line="360" w:lineRule="auto"/>
        <w:rPr>
          <w:rFonts w:ascii="Bookman Old Style" w:hAnsi="Bookman Old Style" w:cs="Segoe UI Light"/>
          <w:bCs/>
          <w:sz w:val="24"/>
          <w:lang w:val="en-GB"/>
        </w:rPr>
      </w:pPr>
      <w:r w:rsidRPr="005F62A4">
        <w:rPr>
          <w:rFonts w:ascii="Bookman Old Style" w:hAnsi="Bookman Old Style" w:cs="Segoe UI Light"/>
          <w:bCs/>
          <w:sz w:val="24"/>
          <w:lang w:val="en-GB"/>
        </w:rPr>
        <w:t>Furthermore, the evaluation of learner progression in WBL in South Africa also considers the development of soft skills, such as communication, teamwork, problem-solving, and adaptability, which are highly valued in the modern workplace.  The assessment of these skills often relies on observational data and feedback from supervisors and colleagues. The </w:t>
      </w:r>
      <w:r w:rsidRPr="005F62A4">
        <w:rPr>
          <w:rFonts w:ascii="Bookman Old Style" w:hAnsi="Bookman Old Style" w:cs="Segoe UI Light"/>
          <w:b/>
          <w:bCs/>
          <w:sz w:val="24"/>
          <w:lang w:val="en-GB"/>
        </w:rPr>
        <w:t xml:space="preserve">use of logbooks and reflective </w:t>
      </w:r>
      <w:r w:rsidRPr="005F62A4">
        <w:rPr>
          <w:rFonts w:ascii="Bookman Old Style" w:hAnsi="Bookman Old Style" w:cs="Segoe UI Light"/>
          <w:b/>
          <w:bCs/>
          <w:sz w:val="24"/>
          <w:lang w:val="en-GB"/>
        </w:rPr>
        <w:lastRenderedPageBreak/>
        <w:t>journals is also a common practice</w:t>
      </w:r>
      <w:r w:rsidRPr="005F62A4">
        <w:rPr>
          <w:rFonts w:ascii="Bookman Old Style" w:hAnsi="Bookman Old Style" w:cs="Segoe UI Light"/>
          <w:bCs/>
          <w:sz w:val="24"/>
          <w:lang w:val="en-GB"/>
        </w:rPr>
        <w:t>, allowing learners to document their experiences, challenges, and learning insights, which can then be used as part of their overall assessment.  The ultimate goal of these evaluation methods is to ensure that learners are not only acquiring technical skills but also developing into well-rounded, competent professionals ready for the demands of the South African labour market.</w:t>
      </w:r>
    </w:p>
    <w:p w14:paraId="6C680710" w14:textId="77777777" w:rsidR="005F62A4" w:rsidRPr="00034F8B" w:rsidRDefault="005F62A4" w:rsidP="00034F8B">
      <w:pPr>
        <w:spacing w:line="360" w:lineRule="auto"/>
        <w:rPr>
          <w:rFonts w:ascii="Bookman Old Style" w:hAnsi="Bookman Old Style" w:cs="Segoe UI Light"/>
          <w:b/>
          <w:sz w:val="24"/>
          <w:lang w:val="en-GB"/>
        </w:rPr>
      </w:pPr>
    </w:p>
    <w:p w14:paraId="76BB0517" w14:textId="064FA5E5" w:rsidR="00034F8B" w:rsidRPr="005F62A4" w:rsidRDefault="00034F8B" w:rsidP="00034F8B">
      <w:pPr>
        <w:spacing w:line="360" w:lineRule="auto"/>
        <w:rPr>
          <w:rFonts w:ascii="Bookman Old Style" w:hAnsi="Bookman Old Style" w:cs="Segoe UI Light"/>
          <w:b/>
          <w:sz w:val="24"/>
          <w:u w:val="single"/>
          <w:lang w:val="en-GB"/>
        </w:rPr>
      </w:pPr>
      <w:r w:rsidRPr="005F62A4">
        <w:rPr>
          <w:rFonts w:ascii="Bookman Old Style" w:hAnsi="Bookman Old Style" w:cs="Segoe UI Light"/>
          <w:b/>
          <w:sz w:val="24"/>
          <w:u w:val="single"/>
          <w:lang w:val="en-GB"/>
        </w:rPr>
        <w:t>KT0404 Documentation and reporting standards and requirements</w:t>
      </w:r>
    </w:p>
    <w:p w14:paraId="38C1C54C" w14:textId="2BE26AD8" w:rsidR="00034F8B" w:rsidRDefault="005F62A4" w:rsidP="00034F8B">
      <w:pPr>
        <w:spacing w:line="360" w:lineRule="auto"/>
        <w:rPr>
          <w:rFonts w:ascii="Bookman Old Style" w:hAnsi="Bookman Old Style" w:cs="Segoe UI Light"/>
          <w:bCs/>
          <w:sz w:val="24"/>
        </w:rPr>
      </w:pPr>
      <w:r w:rsidRPr="005F62A4">
        <w:rPr>
          <w:rFonts w:ascii="Bookman Old Style" w:hAnsi="Bookman Old Style" w:cs="Segoe UI Light"/>
          <w:bCs/>
          <w:sz w:val="24"/>
        </w:rPr>
        <w:t>The evaluation of learner progression in Work-Based Learning (WBL) in South Africa is governed by a comprehensive framework of documentation and reporting standards and requirements, primarily driven by the National Qualifications Framework (NQF) and its associated bodies. These standards aim to ensure quality, consistency, and accountability in WBL programs.</w:t>
      </w:r>
    </w:p>
    <w:p w14:paraId="213B19B6" w14:textId="77777777" w:rsidR="005F62A4" w:rsidRPr="005F62A4" w:rsidRDefault="005F62A4" w:rsidP="005F62A4">
      <w:pPr>
        <w:spacing w:line="360" w:lineRule="auto"/>
        <w:rPr>
          <w:rFonts w:ascii="Bookman Old Style" w:hAnsi="Bookman Old Style" w:cs="Segoe UI Light"/>
          <w:b/>
          <w:bCs/>
          <w:sz w:val="24"/>
          <w:lang w:val="en-GB"/>
        </w:rPr>
      </w:pPr>
      <w:r w:rsidRPr="005F62A4">
        <w:rPr>
          <w:rFonts w:ascii="Bookman Old Style" w:hAnsi="Bookman Old Style" w:cs="Segoe UI Light"/>
          <w:b/>
          <w:bCs/>
          <w:sz w:val="24"/>
          <w:lang w:val="en-GB"/>
        </w:rPr>
        <w:t>Key Documentation and Reporting Standards</w:t>
      </w:r>
    </w:p>
    <w:p w14:paraId="73562C7D" w14:textId="1AC5850E" w:rsidR="005F62A4" w:rsidRPr="005F62A4" w:rsidRDefault="005F62A4" w:rsidP="005F62A4">
      <w:p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 xml:space="preserve">National Qualifications Framework (NQF) and SAQA Requirements: The South African Qualifications Authority (SAQA) is the custodian of the NQF, which provides the framework for all qualifications and part-qualifications in South Africa. WBL programs, including apprenticeships, learnerships, and internships, must align with specific NQF registered qualifications or unit standards. This necessitates detailed documentation of learning outcomes, assessment criteria, and evidence of achievement. Learner progression is typically documented against specific unit standards or qualification outcomes registered on the NQF.  </w:t>
      </w:r>
    </w:p>
    <w:p w14:paraId="4BF59B4A" w14:textId="187CD488" w:rsidR="005F62A4" w:rsidRPr="005F62A4" w:rsidRDefault="005F62A4" w:rsidP="005F62A4">
      <w:pPr>
        <w:spacing w:line="360" w:lineRule="auto"/>
        <w:rPr>
          <w:rFonts w:ascii="Bookman Old Style" w:hAnsi="Bookman Old Style" w:cs="Segoe UI Light"/>
          <w:bCs/>
          <w:sz w:val="24"/>
          <w:lang w:val="en-GB"/>
        </w:rPr>
      </w:pPr>
      <w:r w:rsidRPr="005F62A4">
        <w:rPr>
          <w:rFonts w:ascii="Bookman Old Style" w:hAnsi="Bookman Old Style" w:cs="Segoe UI Light"/>
          <w:b/>
          <w:bCs/>
          <w:sz w:val="24"/>
          <w:lang w:val="en-GB"/>
        </w:rPr>
        <w:t>Sector Education and Training Authorities (SETAs) Guidelines:</w:t>
      </w:r>
      <w:r w:rsidRPr="005F62A4">
        <w:rPr>
          <w:rFonts w:ascii="Bookman Old Style" w:hAnsi="Bookman Old Style" w:cs="Segoe UI Light"/>
          <w:bCs/>
          <w:sz w:val="24"/>
          <w:lang w:val="en-GB"/>
        </w:rPr>
        <w:t> Each economic sector in South Africa has a dedicated SETA responsible for promoting skills development within that sector. SETAs play a crucial role in WBL by developing sector-specific learnerships, apprenticeships, and skills programs. They also set specific reporting requirements for providers and employers. </w:t>
      </w:r>
      <w:r w:rsidRPr="005F62A4">
        <w:rPr>
          <w:rFonts w:ascii="Bookman Old Style" w:hAnsi="Bookman Old Style" w:cs="Segoe UI Light"/>
          <w:b/>
          <w:bCs/>
          <w:sz w:val="24"/>
          <w:lang w:val="en-GB"/>
        </w:rPr>
        <w:t>SETAs often provide templates and guidelines for learner registration, progress reports, assessment records, and certification applications.</w:t>
      </w:r>
      <w:r w:rsidRPr="005F62A4">
        <w:rPr>
          <w:rFonts w:ascii="Bookman Old Style" w:hAnsi="Bookman Old Style" w:cs="Segoe UI Light"/>
          <w:bCs/>
          <w:sz w:val="24"/>
          <w:lang w:val="en-GB"/>
        </w:rPr>
        <w:t xml:space="preserve">  For example, the Manufacturing, Engineering and Related Services Sector Education and Training </w:t>
      </w:r>
      <w:r w:rsidRPr="005F62A4">
        <w:rPr>
          <w:rFonts w:ascii="Bookman Old Style" w:hAnsi="Bookman Old Style" w:cs="Segoe UI Light"/>
          <w:bCs/>
          <w:sz w:val="24"/>
          <w:lang w:val="en-GB"/>
        </w:rPr>
        <w:lastRenderedPageBreak/>
        <w:t>Authority (</w:t>
      </w:r>
      <w:proofErr w:type="spellStart"/>
      <w:r w:rsidRPr="005F62A4">
        <w:rPr>
          <w:rFonts w:ascii="Bookman Old Style" w:hAnsi="Bookman Old Style" w:cs="Segoe UI Light"/>
          <w:bCs/>
          <w:sz w:val="24"/>
          <w:lang w:val="en-GB"/>
        </w:rPr>
        <w:t>mer</w:t>
      </w:r>
      <w:proofErr w:type="spellEnd"/>
      <w:r>
        <w:rPr>
          <w:rFonts w:ascii="Bookman Old Style" w:hAnsi="Bookman Old Style" w:cs="Segoe UI Light"/>
          <w:bCs/>
          <w:sz w:val="24"/>
          <w:lang w:val="en-GB"/>
        </w:rPr>
        <w:t xml:space="preserve"> </w:t>
      </w:r>
      <w:r w:rsidRPr="005F62A4">
        <w:rPr>
          <w:rFonts w:ascii="Bookman Old Style" w:hAnsi="Bookman Old Style" w:cs="Segoe UI Light"/>
          <w:bCs/>
          <w:sz w:val="24"/>
          <w:lang w:val="en-GB"/>
        </w:rPr>
        <w:t xml:space="preserve">SETA) has detailed guidelines for apprenticeship contracts and progress monitoring.  </w:t>
      </w:r>
    </w:p>
    <w:p w14:paraId="2FAD540A" w14:textId="77777777" w:rsidR="005F62A4" w:rsidRPr="005F62A4" w:rsidRDefault="005F62A4" w:rsidP="005F62A4">
      <w:p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Quality Council for Trades and Occupations (QCTO) Specifications: The QCTO is responsible for the development and oversight of occupational qualifications, including those delivered through WBL. The QCTO mandates specific assessment requirements, including integrated summative assessments, which require robust documentation of learner performance throughout the WBL period. Reporting to the QCTO involves submitting evidence of learner achievement against occupational curriculum components and assessment specifications. </w:t>
      </w:r>
      <w:hyperlink r:id="rId17" w:anchor="fn:4" w:tooltip="see footnote" w:history="1">
        <w:r w:rsidRPr="005F62A4">
          <w:rPr>
            <w:rStyle w:val="Hyperlink"/>
            <w:rFonts w:ascii="Bookman Old Style" w:hAnsi="Bookman Old Style" w:cs="Segoe UI Light"/>
            <w:sz w:val="24"/>
            <w:vertAlign w:val="superscript"/>
            <w:lang w:val="en-GB"/>
          </w:rPr>
          <w:t>[4]</w:t>
        </w:r>
      </w:hyperlink>
      <w:r w:rsidRPr="005F62A4">
        <w:rPr>
          <w:rFonts w:ascii="Bookman Old Style" w:hAnsi="Bookman Old Style" w:cs="Segoe UI Light"/>
          <w:sz w:val="24"/>
          <w:lang w:val="en-GB"/>
        </w:rPr>
        <w:t> This includes workplace experience modules, practical assessments, and theoretical components.</w:t>
      </w:r>
    </w:p>
    <w:p w14:paraId="1D7E2559" w14:textId="0B4B9AAB" w:rsidR="005F62A4" w:rsidRPr="005F62A4" w:rsidRDefault="005F62A4" w:rsidP="005F62A4">
      <w:p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 xml:space="preserve">Skills Development Act (SDA) and Skills Development Levies Act (SDLA) Compliance: These acts provide the legislative backbone for skills development in South Africa. Employers participating in WBL programs often receive grants and tax incentives, which necessitate meticulous record-keeping and reporting to the Department of Higher Education and Training (DHET) and relevant SETAs. Documentation includes proof of learner enrolment, attendance registers, progress reports, and evidence of successful completion to justify grant claims and demonstrate compliance.  </w:t>
      </w:r>
    </w:p>
    <w:p w14:paraId="0B6B76EA" w14:textId="70C37716" w:rsidR="005F62A4" w:rsidRPr="005F62A4" w:rsidRDefault="005F62A4" w:rsidP="005F62A4">
      <w:pPr>
        <w:spacing w:line="360" w:lineRule="auto"/>
        <w:rPr>
          <w:rFonts w:ascii="Bookman Old Style" w:hAnsi="Bookman Old Style" w:cs="Segoe UI Light"/>
          <w:bCs/>
          <w:sz w:val="24"/>
          <w:lang w:val="en-GB"/>
        </w:rPr>
      </w:pPr>
      <w:r w:rsidRPr="005F62A4">
        <w:rPr>
          <w:rFonts w:ascii="Bookman Old Style" w:hAnsi="Bookman Old Style" w:cs="Segoe UI Light"/>
          <w:b/>
          <w:bCs/>
          <w:sz w:val="24"/>
          <w:lang w:val="en-GB"/>
        </w:rPr>
        <w:t>Learner Portfolios:</w:t>
      </w:r>
      <w:r w:rsidRPr="005F62A4">
        <w:rPr>
          <w:rFonts w:ascii="Bookman Old Style" w:hAnsi="Bookman Old Style" w:cs="Segoe UI Light"/>
          <w:bCs/>
          <w:sz w:val="24"/>
          <w:lang w:val="en-GB"/>
        </w:rPr>
        <w:t> A central component of documenting learner progression in WBL is the learner portfolio. </w:t>
      </w:r>
      <w:r w:rsidRPr="005F62A4">
        <w:rPr>
          <w:rFonts w:ascii="Bookman Old Style" w:hAnsi="Bookman Old Style" w:cs="Segoe UI Light"/>
          <w:b/>
          <w:bCs/>
          <w:sz w:val="24"/>
          <w:lang w:val="en-GB"/>
        </w:rPr>
        <w:t>This portfolio typically contains a collection of evidence demonstrating the learner's acquisition of knowledge, skills, and workplace experience.</w:t>
      </w:r>
      <w:r w:rsidRPr="005F62A4">
        <w:rPr>
          <w:rFonts w:ascii="Bookman Old Style" w:hAnsi="Bookman Old Style" w:cs="Segoe UI Light"/>
          <w:bCs/>
          <w:sz w:val="24"/>
          <w:lang w:val="en-GB"/>
        </w:rPr>
        <w:t xml:space="preserve">  </w:t>
      </w:r>
      <w:r w:rsidRPr="005F62A4">
        <w:rPr>
          <w:rFonts w:ascii="Bookman Old Style" w:hAnsi="Bookman Old Style" w:cs="Segoe UI Light"/>
          <w:bCs/>
          <w:i/>
          <w:iCs/>
          <w:sz w:val="24"/>
          <w:lang w:val="en-GB"/>
        </w:rPr>
        <w:t>Contents may include:</w:t>
      </w:r>
    </w:p>
    <w:p w14:paraId="30F91382" w14:textId="312CA652" w:rsidR="005F62A4" w:rsidRPr="005F62A4" w:rsidRDefault="005F62A4" w:rsidP="005F62A4">
      <w:p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Workplace logbooks: Detailing tasks performed, hours worked, and skills applied. Assessment records: Formative and summative assessments, including practical demonstrations, written assignments, and oral examinations. Feedback forms: From workplace mentors, supervisors, and assessors. Reflective journals: Where learners document their learning journey and challenges. Evidence of competence: Such as completed projects, products, or services.</w:t>
      </w:r>
    </w:p>
    <w:p w14:paraId="5E6E2E6E" w14:textId="16BFECB2" w:rsidR="005F62A4" w:rsidRPr="005F62A4" w:rsidRDefault="005F62A4" w:rsidP="005F62A4">
      <w:p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lastRenderedPageBreak/>
        <w:t>Workplace Mentor/Supervisor Reports: Workplace mentors or supervisors play a critical role in guiding and assessing learners. Their regular reports on learner performance, adherence to workplace standards, and development of practical skills are essential documentation.  These reports often feed into formal progress reviews.</w:t>
      </w:r>
    </w:p>
    <w:p w14:paraId="43F81863" w14:textId="13E16426" w:rsidR="005F62A4" w:rsidRPr="005F62A4" w:rsidRDefault="005F62A4" w:rsidP="005F62A4">
      <w:p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 xml:space="preserve">Progress Review Meetings and Reports: Regular progress review meetings involving the learner, workplace mentor, and training provider are crucial. Minutes of these meetings and formal progress reports are documented to track learner development, address challenges, and adjust learning plans as needed.  </w:t>
      </w:r>
    </w:p>
    <w:p w14:paraId="1FCC736C" w14:textId="6B55FF6B" w:rsidR="005F62A4" w:rsidRPr="005F62A4" w:rsidRDefault="005F62A4" w:rsidP="005F62A4">
      <w:p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Certification and Verification: Upon successful completion of a WBL program, learners receive a certificate or statement of achievement. The process of certification requires verification that all learning outcomes and assessment criteria have been met, and this verification process itself generates documentation.  This often involves the SETA or QCTO.</w:t>
      </w:r>
    </w:p>
    <w:p w14:paraId="0174A777" w14:textId="77777777" w:rsidR="005F62A4" w:rsidRPr="005F62A4" w:rsidRDefault="005F62A4" w:rsidP="005F62A4">
      <w:pPr>
        <w:spacing w:line="360" w:lineRule="auto"/>
        <w:rPr>
          <w:rFonts w:ascii="Bookman Old Style" w:hAnsi="Bookman Old Style" w:cs="Segoe UI Light"/>
          <w:b/>
          <w:bCs/>
          <w:sz w:val="24"/>
          <w:lang w:val="en-GB"/>
        </w:rPr>
      </w:pPr>
      <w:r w:rsidRPr="005F62A4">
        <w:rPr>
          <w:rFonts w:ascii="Bookman Old Style" w:hAnsi="Bookman Old Style" w:cs="Segoe UI Light"/>
          <w:b/>
          <w:bCs/>
          <w:sz w:val="24"/>
          <w:lang w:val="en-GB"/>
        </w:rPr>
        <w:t>Reporting Requirements</w:t>
      </w:r>
    </w:p>
    <w:p w14:paraId="13F9A439" w14:textId="07F221BA" w:rsidR="005F62A4" w:rsidRDefault="005F62A4" w:rsidP="005F62A4">
      <w:pPr>
        <w:spacing w:line="360" w:lineRule="auto"/>
        <w:rPr>
          <w:rFonts w:ascii="Bookman Old Style" w:hAnsi="Bookman Old Style" w:cs="Segoe UI Light"/>
          <w:bCs/>
          <w:sz w:val="24"/>
          <w:lang w:val="en-GB"/>
        </w:rPr>
      </w:pPr>
      <w:r w:rsidRPr="005F62A4">
        <w:rPr>
          <w:rFonts w:ascii="Bookman Old Style" w:hAnsi="Bookman Old Style" w:cs="Segoe UI Light"/>
          <w:bCs/>
          <w:sz w:val="24"/>
          <w:lang w:val="en-GB"/>
        </w:rPr>
        <w:t>Reporting requirements vary depending on the specific WBL program and the involved stakeholders (SETAs, QCTO, DHET, employers, and training providers). However, common reporting ele</w:t>
      </w:r>
      <w:r w:rsidRPr="005F62A4">
        <w:rPr>
          <w:rFonts w:ascii="Bookman Old Style" w:hAnsi="Bookman Old Style" w:cs="Segoe UI Light"/>
          <w:bCs/>
          <w:i/>
          <w:iCs/>
          <w:sz w:val="24"/>
          <w:lang w:val="en-GB"/>
        </w:rPr>
        <w:t>ments include</w:t>
      </w:r>
      <w:r w:rsidRPr="005F62A4">
        <w:rPr>
          <w:rFonts w:ascii="Bookman Old Style" w:hAnsi="Bookman Old Style" w:cs="Segoe UI Light"/>
          <w:bCs/>
          <w:sz w:val="24"/>
          <w:lang w:val="en-GB"/>
        </w:rPr>
        <w:t xml:space="preserve"> Learner registration details: Personal information, NQF ID, program enrolment date. Attendance records: Proof of time spent in the workplace and structured learning. Assessment results: Scores, feedback, and evidence of competence for each unit standard or module. Workplace performance evaluations: Regular assessments by workplace mentors. Progress against learning plan: Tracking milestones and achievement of learning outcomes. Challenges and interventions: Documentation of any difficulties encountered by the learner and the support provided. Completion reports: Formal documentation upon successful completion of the program. Financial reporting: For employers claiming grants, detailed financial records related to learner stipends and training costs.</w:t>
      </w:r>
    </w:p>
    <w:p w14:paraId="6F049883" w14:textId="77777777" w:rsidR="005F62A4" w:rsidRPr="005F62A4" w:rsidRDefault="005F62A4" w:rsidP="005F62A4">
      <w:pPr>
        <w:spacing w:line="360" w:lineRule="auto"/>
        <w:rPr>
          <w:rFonts w:ascii="Bookman Old Style" w:hAnsi="Bookman Old Style" w:cs="Segoe UI Light"/>
          <w:bCs/>
          <w:sz w:val="24"/>
          <w:lang w:val="en-GB"/>
        </w:rPr>
      </w:pPr>
    </w:p>
    <w:p w14:paraId="2829B943" w14:textId="77777777" w:rsidR="005F62A4" w:rsidRPr="00034F8B" w:rsidRDefault="005F62A4" w:rsidP="00034F8B">
      <w:pPr>
        <w:spacing w:line="360" w:lineRule="auto"/>
        <w:rPr>
          <w:rFonts w:ascii="Bookman Old Style" w:hAnsi="Bookman Old Style" w:cs="Segoe UI Light"/>
          <w:bCs/>
          <w:sz w:val="24"/>
          <w:lang w:val="en-GB"/>
        </w:rPr>
      </w:pPr>
    </w:p>
    <w:p w14:paraId="484FB145" w14:textId="77777777" w:rsidR="00C45200" w:rsidRPr="00C45200" w:rsidRDefault="00C45200" w:rsidP="00C45200">
      <w:pPr>
        <w:spacing w:line="360" w:lineRule="auto"/>
        <w:rPr>
          <w:rFonts w:ascii="Bookman Old Style" w:hAnsi="Bookman Old Style" w:cs="Segoe UI Light"/>
          <w:b/>
          <w:sz w:val="24"/>
          <w:lang w:val="en-GB"/>
        </w:rPr>
      </w:pPr>
      <w:r w:rsidRPr="00C45200">
        <w:rPr>
          <w:rFonts w:ascii="Bookman Old Style" w:hAnsi="Bookman Old Style" w:cs="Segoe UI Light"/>
          <w:b/>
          <w:sz w:val="24"/>
          <w:lang w:val="en-GB"/>
        </w:rPr>
        <w:lastRenderedPageBreak/>
        <w:t xml:space="preserve">Internal Assessment Criteria and Weight </w:t>
      </w:r>
    </w:p>
    <w:p w14:paraId="0F11FDEC" w14:textId="5F3D64B7" w:rsidR="00C45200" w:rsidRPr="00C45200" w:rsidRDefault="00C45200" w:rsidP="008A5553">
      <w:pPr>
        <w:pStyle w:val="ListParagraph"/>
        <w:numPr>
          <w:ilvl w:val="0"/>
          <w:numId w:val="33"/>
        </w:numPr>
        <w:spacing w:line="360" w:lineRule="auto"/>
        <w:rPr>
          <w:rFonts w:ascii="Bookman Old Style" w:hAnsi="Bookman Old Style" w:cs="Segoe UI Light"/>
          <w:bCs/>
          <w:sz w:val="24"/>
          <w:lang w:val="en-GB"/>
        </w:rPr>
      </w:pPr>
      <w:bookmarkStart w:id="15" w:name="_GoBack"/>
      <w:r w:rsidRPr="00C45200">
        <w:rPr>
          <w:rFonts w:ascii="Bookman Old Style" w:hAnsi="Bookman Old Style" w:cs="Segoe UI Light"/>
          <w:bCs/>
          <w:sz w:val="24"/>
          <w:lang w:val="en-GB"/>
        </w:rPr>
        <w:t xml:space="preserve">IAC0401 Learner progression evaluation, standards and evidence requirements are explained for a work-based learning intervention </w:t>
      </w:r>
    </w:p>
    <w:bookmarkEnd w:id="15"/>
    <w:p w14:paraId="38D80C13" w14:textId="4046FF28" w:rsidR="00C45200" w:rsidRDefault="00C45200" w:rsidP="00C45200">
      <w:pPr>
        <w:spacing w:line="360" w:lineRule="auto"/>
        <w:rPr>
          <w:rFonts w:ascii="Bookman Old Style" w:hAnsi="Bookman Old Style" w:cs="Segoe UI Light"/>
          <w:b/>
          <w:sz w:val="24"/>
          <w:lang w:val="en-GB"/>
        </w:rPr>
      </w:pPr>
      <w:r w:rsidRPr="00C45200">
        <w:rPr>
          <w:rFonts w:ascii="Bookman Old Style" w:hAnsi="Bookman Old Style" w:cs="Segoe UI Light"/>
          <w:b/>
          <w:sz w:val="24"/>
          <w:lang w:val="en-GB"/>
        </w:rPr>
        <w:t>(Weight 20%)</w:t>
      </w:r>
    </w:p>
    <w:p w14:paraId="573449D2" w14:textId="0C00DCD3" w:rsidR="00C45200" w:rsidRDefault="00C45200" w:rsidP="005B1D66">
      <w:pPr>
        <w:spacing w:line="360" w:lineRule="auto"/>
        <w:rPr>
          <w:rFonts w:ascii="Bookman Old Style" w:hAnsi="Bookman Old Style" w:cs="Segoe UI Light"/>
          <w:b/>
          <w:sz w:val="24"/>
          <w:lang w:val="en-GB"/>
        </w:rPr>
      </w:pPr>
    </w:p>
    <w:p w14:paraId="182454D6" w14:textId="44D74279" w:rsidR="00C45200" w:rsidRDefault="00C45200" w:rsidP="005B1D66">
      <w:pPr>
        <w:spacing w:line="360" w:lineRule="auto"/>
        <w:rPr>
          <w:rFonts w:ascii="Bookman Old Style" w:hAnsi="Bookman Old Style" w:cs="Segoe UI Light"/>
          <w:b/>
          <w:sz w:val="24"/>
          <w:lang w:val="en-GB"/>
        </w:rPr>
      </w:pPr>
    </w:p>
    <w:p w14:paraId="111E06A8" w14:textId="47F227AF" w:rsidR="00C45200" w:rsidRDefault="00C45200" w:rsidP="005B1D66">
      <w:pPr>
        <w:spacing w:line="360" w:lineRule="auto"/>
        <w:rPr>
          <w:rFonts w:ascii="Bookman Old Style" w:hAnsi="Bookman Old Style" w:cs="Segoe UI Light"/>
          <w:b/>
          <w:sz w:val="24"/>
          <w:lang w:val="en-GB"/>
        </w:rPr>
      </w:pPr>
    </w:p>
    <w:p w14:paraId="2FE93772" w14:textId="2100E636" w:rsidR="00C45200" w:rsidRDefault="00C45200" w:rsidP="005B1D66">
      <w:pPr>
        <w:spacing w:line="360" w:lineRule="auto"/>
        <w:rPr>
          <w:rFonts w:ascii="Bookman Old Style" w:hAnsi="Bookman Old Style" w:cs="Segoe UI Light"/>
          <w:b/>
          <w:sz w:val="24"/>
          <w:lang w:val="en-GB"/>
        </w:rPr>
      </w:pPr>
    </w:p>
    <w:p w14:paraId="3A8C5845" w14:textId="77777777" w:rsidR="00C45200" w:rsidRDefault="00C45200"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4B6B3855" w:rsidR="009656CE" w:rsidRDefault="009656CE" w:rsidP="005B1D66">
      <w:pPr>
        <w:spacing w:line="360" w:lineRule="auto"/>
        <w:rPr>
          <w:rFonts w:ascii="Bookman Old Style" w:hAnsi="Bookman Old Style" w:cs="Segoe UI Light"/>
          <w:b/>
          <w:sz w:val="24"/>
          <w:lang w:val="en-GB"/>
        </w:rPr>
      </w:pPr>
    </w:p>
    <w:p w14:paraId="6B5CE08E" w14:textId="651F92F5" w:rsidR="00C45200" w:rsidRDefault="00C45200" w:rsidP="005B1D66">
      <w:pPr>
        <w:spacing w:line="360" w:lineRule="auto"/>
        <w:rPr>
          <w:rFonts w:ascii="Bookman Old Style" w:hAnsi="Bookman Old Style" w:cs="Segoe UI Light"/>
          <w:b/>
          <w:sz w:val="24"/>
          <w:lang w:val="en-GB"/>
        </w:rPr>
      </w:pPr>
    </w:p>
    <w:p w14:paraId="0755A616" w14:textId="0A910050" w:rsidR="00C45200" w:rsidRDefault="00C45200" w:rsidP="005B1D66">
      <w:pPr>
        <w:spacing w:line="360" w:lineRule="auto"/>
        <w:rPr>
          <w:rFonts w:ascii="Bookman Old Style" w:hAnsi="Bookman Old Style" w:cs="Segoe UI Light"/>
          <w:b/>
          <w:sz w:val="24"/>
          <w:lang w:val="en-GB"/>
        </w:rPr>
      </w:pPr>
    </w:p>
    <w:p w14:paraId="77C5B242" w14:textId="649192E7" w:rsidR="00C45200" w:rsidRDefault="00C45200" w:rsidP="005B1D66">
      <w:pPr>
        <w:spacing w:line="360" w:lineRule="auto"/>
        <w:rPr>
          <w:rFonts w:ascii="Bookman Old Style" w:hAnsi="Bookman Old Style" w:cs="Segoe UI Light"/>
          <w:b/>
          <w:sz w:val="24"/>
          <w:lang w:val="en-GB"/>
        </w:rPr>
      </w:pPr>
    </w:p>
    <w:p w14:paraId="3FBD989C" w14:textId="1B11E23C" w:rsidR="00C45200" w:rsidRDefault="00C45200" w:rsidP="005B1D66">
      <w:pPr>
        <w:spacing w:line="360" w:lineRule="auto"/>
        <w:rPr>
          <w:rFonts w:ascii="Bookman Old Style" w:hAnsi="Bookman Old Style" w:cs="Segoe UI Light"/>
          <w:b/>
          <w:sz w:val="24"/>
          <w:lang w:val="en-GB"/>
        </w:rPr>
      </w:pPr>
    </w:p>
    <w:p w14:paraId="1820E3A1" w14:textId="7033B5DD" w:rsidR="00C45200" w:rsidRDefault="00C45200" w:rsidP="005B1D66">
      <w:pPr>
        <w:spacing w:line="360" w:lineRule="auto"/>
        <w:rPr>
          <w:rFonts w:ascii="Bookman Old Style" w:hAnsi="Bookman Old Style" w:cs="Segoe UI Light"/>
          <w:b/>
          <w:sz w:val="24"/>
          <w:lang w:val="en-GB"/>
        </w:rPr>
      </w:pPr>
    </w:p>
    <w:p w14:paraId="0AD4D7C6" w14:textId="1741FC29" w:rsidR="00C45200" w:rsidRDefault="00C45200" w:rsidP="005B1D66">
      <w:pPr>
        <w:spacing w:line="360" w:lineRule="auto"/>
        <w:rPr>
          <w:rFonts w:ascii="Bookman Old Style" w:hAnsi="Bookman Old Style" w:cs="Segoe UI Light"/>
          <w:b/>
          <w:sz w:val="24"/>
          <w:lang w:val="en-GB"/>
        </w:rPr>
      </w:pPr>
    </w:p>
    <w:p w14:paraId="597367BE" w14:textId="1E5BBF6B" w:rsidR="00C45200" w:rsidRDefault="00C45200" w:rsidP="005B1D66">
      <w:pPr>
        <w:spacing w:line="360" w:lineRule="auto"/>
        <w:rPr>
          <w:rFonts w:ascii="Bookman Old Style" w:hAnsi="Bookman Old Style" w:cs="Segoe UI Light"/>
          <w:b/>
          <w:sz w:val="24"/>
          <w:lang w:val="en-GB"/>
        </w:rPr>
      </w:pPr>
    </w:p>
    <w:p w14:paraId="40CB4004" w14:textId="5063B29E" w:rsidR="005F62A4" w:rsidRDefault="005F62A4" w:rsidP="005B1D66">
      <w:pPr>
        <w:spacing w:line="360" w:lineRule="auto"/>
        <w:rPr>
          <w:rFonts w:ascii="Bookman Old Style" w:hAnsi="Bookman Old Style" w:cs="Segoe UI Light"/>
          <w:b/>
          <w:sz w:val="24"/>
          <w:lang w:val="en-GB"/>
        </w:rPr>
      </w:pPr>
    </w:p>
    <w:p w14:paraId="1BC83716" w14:textId="6AF5F8BE" w:rsidR="005F62A4" w:rsidRDefault="005F62A4" w:rsidP="005B1D66">
      <w:pPr>
        <w:spacing w:line="360" w:lineRule="auto"/>
        <w:rPr>
          <w:rFonts w:ascii="Bookman Old Style" w:hAnsi="Bookman Old Style" w:cs="Segoe UI Light"/>
          <w:b/>
          <w:sz w:val="24"/>
          <w:lang w:val="en-GB"/>
        </w:rPr>
      </w:pPr>
    </w:p>
    <w:p w14:paraId="7954823D" w14:textId="3A1549AF" w:rsidR="005F62A4" w:rsidRDefault="005F62A4" w:rsidP="005B1D66">
      <w:pPr>
        <w:spacing w:line="360" w:lineRule="auto"/>
        <w:rPr>
          <w:rFonts w:ascii="Bookman Old Style" w:hAnsi="Bookman Old Style" w:cs="Segoe UI Light"/>
          <w:b/>
          <w:sz w:val="24"/>
          <w:lang w:val="en-GB"/>
        </w:rPr>
      </w:pPr>
    </w:p>
    <w:p w14:paraId="5DB88B39" w14:textId="0BC202F2" w:rsidR="005F62A4" w:rsidRDefault="005F62A4" w:rsidP="005B1D66">
      <w:pPr>
        <w:spacing w:line="360" w:lineRule="auto"/>
        <w:rPr>
          <w:rFonts w:ascii="Bookman Old Style" w:hAnsi="Bookman Old Style" w:cs="Segoe UI Light"/>
          <w:b/>
          <w:sz w:val="24"/>
          <w:lang w:val="en-GB"/>
        </w:rPr>
      </w:pPr>
    </w:p>
    <w:p w14:paraId="2CF7AD58" w14:textId="34C1E1FC" w:rsidR="005F62A4" w:rsidRDefault="005F62A4" w:rsidP="005B1D66">
      <w:pPr>
        <w:spacing w:line="360" w:lineRule="auto"/>
        <w:rPr>
          <w:rFonts w:ascii="Bookman Old Style" w:hAnsi="Bookman Old Style" w:cs="Segoe UI Light"/>
          <w:b/>
          <w:sz w:val="24"/>
          <w:lang w:val="en-GB"/>
        </w:rPr>
      </w:pPr>
    </w:p>
    <w:p w14:paraId="0D07524C" w14:textId="77777777" w:rsidR="005F62A4" w:rsidRDefault="005F62A4" w:rsidP="005B1D66">
      <w:pPr>
        <w:spacing w:line="360" w:lineRule="auto"/>
        <w:rPr>
          <w:rFonts w:ascii="Bookman Old Style" w:hAnsi="Bookman Old Style" w:cs="Segoe UI Light"/>
          <w:b/>
          <w:sz w:val="24"/>
          <w:lang w:val="en-GB"/>
        </w:rPr>
      </w:pPr>
    </w:p>
    <w:p w14:paraId="629154DC" w14:textId="77777777" w:rsidR="00C45200" w:rsidRPr="00380609" w:rsidRDefault="00C45200" w:rsidP="005B1D66">
      <w:pPr>
        <w:spacing w:line="360" w:lineRule="auto"/>
        <w:rPr>
          <w:rFonts w:ascii="Bookman Old Style" w:hAnsi="Bookman Old Style" w:cs="Segoe UI Light"/>
          <w:b/>
          <w:sz w:val="24"/>
          <w:lang w:val="en-GB"/>
        </w:rPr>
      </w:pPr>
    </w:p>
    <w:p w14:paraId="7114965D" w14:textId="45885700" w:rsidR="00D965A1" w:rsidRPr="00380609" w:rsidRDefault="007A6C4A" w:rsidP="005B1D66">
      <w:pPr>
        <w:pStyle w:val="Heading1"/>
        <w:numPr>
          <w:ilvl w:val="0"/>
          <w:numId w:val="0"/>
        </w:numPr>
        <w:spacing w:line="360" w:lineRule="auto"/>
        <w:rPr>
          <w:rFonts w:ascii="Bookman Old Style" w:hAnsi="Bookman Old Style"/>
          <w:sz w:val="24"/>
          <w:szCs w:val="24"/>
        </w:rPr>
      </w:pPr>
      <w:bookmarkStart w:id="16" w:name="_Toc211698285"/>
      <w:r w:rsidRPr="00380609">
        <w:rPr>
          <w:rFonts w:ascii="Bookman Old Style" w:hAnsi="Bookman Old Style"/>
          <w:sz w:val="24"/>
          <w:szCs w:val="24"/>
        </w:rPr>
        <w:lastRenderedPageBreak/>
        <w:t>REFERENCES</w:t>
      </w:r>
      <w:bookmarkEnd w:id="16"/>
      <w:r w:rsidRPr="00380609">
        <w:rPr>
          <w:rFonts w:ascii="Bookman Old Style" w:hAnsi="Bookman Old Style"/>
          <w:sz w:val="24"/>
          <w:szCs w:val="24"/>
        </w:rPr>
        <w:t xml:space="preserve"> </w:t>
      </w:r>
    </w:p>
    <w:p w14:paraId="03B948DC"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South African Qualifications Authority (SAQA). </w:t>
      </w:r>
      <w:r w:rsidRPr="005F62A4">
        <w:rPr>
          <w:rFonts w:ascii="Bookman Old Style" w:hAnsi="Bookman Old Style" w:cs="Segoe UI Light"/>
          <w:i/>
          <w:iCs/>
          <w:sz w:val="24"/>
          <w:lang w:val="en-GB"/>
        </w:rPr>
        <w:t>The National Qualifications Framework (NQF) Act 67 of 2008</w:t>
      </w:r>
      <w:r w:rsidRPr="005F62A4">
        <w:rPr>
          <w:rFonts w:ascii="Bookman Old Style" w:hAnsi="Bookman Old Style" w:cs="Segoe UI Light"/>
          <w:sz w:val="24"/>
          <w:lang w:val="en-GB"/>
        </w:rPr>
        <w:t>. [</w:t>
      </w:r>
      <w:hyperlink r:id="rId18" w:history="1">
        <w:r w:rsidRPr="005F62A4">
          <w:rPr>
            <w:rStyle w:val="Hyperlink"/>
            <w:rFonts w:ascii="Bookman Old Style" w:hAnsi="Bookman Old Style" w:cs="Segoe UI Light"/>
            <w:sz w:val="24"/>
            <w:lang w:val="en-GB"/>
          </w:rPr>
          <w:t>SAQA</w:t>
        </w:r>
      </w:hyperlink>
      <w:r w:rsidRPr="005F62A4">
        <w:rPr>
          <w:rFonts w:ascii="Bookman Old Style" w:hAnsi="Bookman Old Style" w:cs="Segoe UI Light"/>
          <w:sz w:val="24"/>
          <w:lang w:val="en-GB"/>
        </w:rPr>
        <w:t>]</w:t>
      </w:r>
      <w:hyperlink r:id="rId19" w:anchor="fnref:1" w:tooltip="return to article" w:history="1">
        <w:r w:rsidRPr="005F62A4">
          <w:rPr>
            <w:rStyle w:val="Hyperlink"/>
            <w:rFonts w:ascii="Segoe UI Emoji" w:hAnsi="Segoe UI Emoji" w:cs="Segoe UI Emoji"/>
            <w:sz w:val="24"/>
            <w:lang w:val="en-GB"/>
          </w:rPr>
          <w:t>↩</w:t>
        </w:r>
      </w:hyperlink>
    </w:p>
    <w:p w14:paraId="762CDE1C"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Department of Higher Education and Training (DHET). </w:t>
      </w:r>
      <w:r w:rsidRPr="005F62A4">
        <w:rPr>
          <w:rFonts w:ascii="Bookman Old Style" w:hAnsi="Bookman Old Style" w:cs="Segoe UI Light"/>
          <w:i/>
          <w:iCs/>
          <w:sz w:val="24"/>
          <w:lang w:val="en-GB"/>
        </w:rPr>
        <w:t>Skills Development Act, 1998 (Act No. 97 of 1998)</w:t>
      </w:r>
      <w:r w:rsidRPr="005F62A4">
        <w:rPr>
          <w:rFonts w:ascii="Bookman Old Style" w:hAnsi="Bookman Old Style" w:cs="Segoe UI Light"/>
          <w:sz w:val="24"/>
          <w:lang w:val="en-GB"/>
        </w:rPr>
        <w:t>. [</w:t>
      </w:r>
      <w:hyperlink r:id="rId20" w:history="1">
        <w:r w:rsidRPr="005F62A4">
          <w:rPr>
            <w:rStyle w:val="Hyperlink"/>
            <w:rFonts w:ascii="Bookman Old Style" w:hAnsi="Bookman Old Style" w:cs="Segoe UI Light"/>
            <w:sz w:val="24"/>
            <w:lang w:val="en-GB"/>
          </w:rPr>
          <w:t>DHET</w:t>
        </w:r>
      </w:hyperlink>
      <w:r w:rsidRPr="005F62A4">
        <w:rPr>
          <w:rFonts w:ascii="Bookman Old Style" w:hAnsi="Bookman Old Style" w:cs="Segoe UI Light"/>
          <w:sz w:val="24"/>
          <w:lang w:val="en-GB"/>
        </w:rPr>
        <w:t>]</w:t>
      </w:r>
      <w:hyperlink r:id="rId21" w:anchor="fnref:2" w:tooltip="return to article" w:history="1">
        <w:r w:rsidRPr="005F62A4">
          <w:rPr>
            <w:rStyle w:val="Hyperlink"/>
            <w:rFonts w:ascii="Segoe UI Emoji" w:hAnsi="Segoe UI Emoji" w:cs="Segoe UI Emoji"/>
            <w:sz w:val="24"/>
            <w:lang w:val="en-GB"/>
          </w:rPr>
          <w:t>↩</w:t>
        </w:r>
      </w:hyperlink>
    </w:p>
    <w:p w14:paraId="3251CF3C"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proofErr w:type="spellStart"/>
      <w:r w:rsidRPr="005F62A4">
        <w:rPr>
          <w:rFonts w:ascii="Bookman Old Style" w:hAnsi="Bookman Old Style" w:cs="Segoe UI Light"/>
          <w:sz w:val="24"/>
          <w:lang w:val="en-GB"/>
        </w:rPr>
        <w:t>merSETA</w:t>
      </w:r>
      <w:proofErr w:type="spellEnd"/>
      <w:r w:rsidRPr="005F62A4">
        <w:rPr>
          <w:rFonts w:ascii="Bookman Old Style" w:hAnsi="Bookman Old Style" w:cs="Segoe UI Light"/>
          <w:sz w:val="24"/>
          <w:lang w:val="en-GB"/>
        </w:rPr>
        <w:t>. </w:t>
      </w:r>
      <w:r w:rsidRPr="005F62A4">
        <w:rPr>
          <w:rFonts w:ascii="Bookman Old Style" w:hAnsi="Bookman Old Style" w:cs="Segoe UI Light"/>
          <w:i/>
          <w:iCs/>
          <w:sz w:val="24"/>
          <w:lang w:val="en-GB"/>
        </w:rPr>
        <w:t>Apprenticeship Guidelines</w:t>
      </w:r>
      <w:r w:rsidRPr="005F62A4">
        <w:rPr>
          <w:rFonts w:ascii="Bookman Old Style" w:hAnsi="Bookman Old Style" w:cs="Segoe UI Light"/>
          <w:sz w:val="24"/>
          <w:lang w:val="en-GB"/>
        </w:rPr>
        <w:t>. [</w:t>
      </w:r>
      <w:proofErr w:type="spellStart"/>
      <w:r w:rsidRPr="005F62A4">
        <w:rPr>
          <w:rFonts w:ascii="Bookman Old Style" w:hAnsi="Bookman Old Style" w:cs="Segoe UI Light"/>
          <w:sz w:val="24"/>
          <w:lang w:val="en-GB"/>
        </w:rPr>
        <w:fldChar w:fldCharType="begin"/>
      </w:r>
      <w:r w:rsidRPr="005F62A4">
        <w:rPr>
          <w:rFonts w:ascii="Bookman Old Style" w:hAnsi="Bookman Old Style" w:cs="Segoe UI Light"/>
          <w:sz w:val="24"/>
          <w:lang w:val="en-GB"/>
        </w:rPr>
        <w:instrText xml:space="preserve"> HYPERLINK "https://www.merseta.org.za/" </w:instrText>
      </w:r>
      <w:r w:rsidRPr="005F62A4">
        <w:rPr>
          <w:rFonts w:ascii="Bookman Old Style" w:hAnsi="Bookman Old Style" w:cs="Segoe UI Light"/>
          <w:sz w:val="24"/>
          <w:lang w:val="en-GB"/>
        </w:rPr>
        <w:fldChar w:fldCharType="separate"/>
      </w:r>
      <w:r w:rsidRPr="005F62A4">
        <w:rPr>
          <w:rStyle w:val="Hyperlink"/>
          <w:rFonts w:ascii="Bookman Old Style" w:hAnsi="Bookman Old Style" w:cs="Segoe UI Light"/>
          <w:sz w:val="24"/>
          <w:lang w:val="en-GB"/>
        </w:rPr>
        <w:t>merSETA</w:t>
      </w:r>
      <w:proofErr w:type="spellEnd"/>
      <w:r w:rsidRPr="005F62A4">
        <w:rPr>
          <w:rFonts w:ascii="Bookman Old Style" w:hAnsi="Bookman Old Style" w:cs="Segoe UI Light"/>
          <w:sz w:val="24"/>
        </w:rPr>
        <w:fldChar w:fldCharType="end"/>
      </w:r>
      <w:r w:rsidRPr="005F62A4">
        <w:rPr>
          <w:rFonts w:ascii="Bookman Old Style" w:hAnsi="Bookman Old Style" w:cs="Segoe UI Light"/>
          <w:sz w:val="24"/>
          <w:lang w:val="en-GB"/>
        </w:rPr>
        <w:t>]</w:t>
      </w:r>
      <w:hyperlink r:id="rId22" w:anchor="fnref:3" w:tooltip="return to article" w:history="1">
        <w:r w:rsidRPr="005F62A4">
          <w:rPr>
            <w:rStyle w:val="Hyperlink"/>
            <w:rFonts w:ascii="Segoe UI Emoji" w:hAnsi="Segoe UI Emoji" w:cs="Segoe UI Emoji"/>
            <w:sz w:val="24"/>
            <w:lang w:val="en-GB"/>
          </w:rPr>
          <w:t>↩</w:t>
        </w:r>
      </w:hyperlink>
    </w:p>
    <w:p w14:paraId="0787FC67"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Quality Council for Trades and Occupations (QCTO). </w:t>
      </w:r>
      <w:r w:rsidRPr="005F62A4">
        <w:rPr>
          <w:rFonts w:ascii="Bookman Old Style" w:hAnsi="Bookman Old Style" w:cs="Segoe UI Light"/>
          <w:i/>
          <w:iCs/>
          <w:sz w:val="24"/>
          <w:lang w:val="en-GB"/>
        </w:rPr>
        <w:t>Occupational Qualifications Framework</w:t>
      </w:r>
      <w:r w:rsidRPr="005F62A4">
        <w:rPr>
          <w:rFonts w:ascii="Bookman Old Style" w:hAnsi="Bookman Old Style" w:cs="Segoe UI Light"/>
          <w:sz w:val="24"/>
          <w:lang w:val="en-GB"/>
        </w:rPr>
        <w:t>. [</w:t>
      </w:r>
      <w:hyperlink r:id="rId23" w:history="1">
        <w:r w:rsidRPr="005F62A4">
          <w:rPr>
            <w:rStyle w:val="Hyperlink"/>
            <w:rFonts w:ascii="Bookman Old Style" w:hAnsi="Bookman Old Style" w:cs="Segoe UI Light"/>
            <w:sz w:val="24"/>
            <w:lang w:val="en-GB"/>
          </w:rPr>
          <w:t>QCTO</w:t>
        </w:r>
      </w:hyperlink>
      <w:r w:rsidRPr="005F62A4">
        <w:rPr>
          <w:rFonts w:ascii="Bookman Old Style" w:hAnsi="Bookman Old Style" w:cs="Segoe UI Light"/>
          <w:sz w:val="24"/>
          <w:lang w:val="en-GB"/>
        </w:rPr>
        <w:t>]</w:t>
      </w:r>
      <w:hyperlink r:id="rId24" w:anchor="fnref:4" w:tooltip="return to article" w:history="1">
        <w:r w:rsidRPr="005F62A4">
          <w:rPr>
            <w:rStyle w:val="Hyperlink"/>
            <w:rFonts w:ascii="Segoe UI Emoji" w:hAnsi="Segoe UI Emoji" w:cs="Segoe UI Emoji"/>
            <w:sz w:val="24"/>
            <w:lang w:val="en-GB"/>
          </w:rPr>
          <w:t>↩</w:t>
        </w:r>
      </w:hyperlink>
    </w:p>
    <w:p w14:paraId="06EAB976"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Department of Higher Education and Training (DHET). </w:t>
      </w:r>
      <w:r w:rsidRPr="005F62A4">
        <w:rPr>
          <w:rFonts w:ascii="Bookman Old Style" w:hAnsi="Bookman Old Style" w:cs="Segoe UI Light"/>
          <w:i/>
          <w:iCs/>
          <w:sz w:val="24"/>
          <w:lang w:val="en-GB"/>
        </w:rPr>
        <w:t>Skills Development Levies Act, 1999 (Act No. 9 of 1999)</w:t>
      </w:r>
      <w:r w:rsidRPr="005F62A4">
        <w:rPr>
          <w:rFonts w:ascii="Bookman Old Style" w:hAnsi="Bookman Old Style" w:cs="Segoe UI Light"/>
          <w:sz w:val="24"/>
          <w:lang w:val="en-GB"/>
        </w:rPr>
        <w:t>. [</w:t>
      </w:r>
      <w:hyperlink r:id="rId25" w:history="1">
        <w:r w:rsidRPr="005F62A4">
          <w:rPr>
            <w:rStyle w:val="Hyperlink"/>
            <w:rFonts w:ascii="Bookman Old Style" w:hAnsi="Bookman Old Style" w:cs="Segoe UI Light"/>
            <w:sz w:val="24"/>
            <w:lang w:val="en-GB"/>
          </w:rPr>
          <w:t>DHET</w:t>
        </w:r>
      </w:hyperlink>
      <w:r w:rsidRPr="005F62A4">
        <w:rPr>
          <w:rFonts w:ascii="Bookman Old Style" w:hAnsi="Bookman Old Style" w:cs="Segoe UI Light"/>
          <w:sz w:val="24"/>
          <w:lang w:val="en-GB"/>
        </w:rPr>
        <w:t>]</w:t>
      </w:r>
      <w:hyperlink r:id="rId26" w:anchor="fnref:5" w:tooltip="return to article" w:history="1">
        <w:r w:rsidRPr="005F62A4">
          <w:rPr>
            <w:rStyle w:val="Hyperlink"/>
            <w:rFonts w:ascii="Segoe UI Emoji" w:hAnsi="Segoe UI Emoji" w:cs="Segoe UI Emoji"/>
            <w:sz w:val="24"/>
            <w:lang w:val="en-GB"/>
          </w:rPr>
          <w:t>↩</w:t>
        </w:r>
      </w:hyperlink>
    </w:p>
    <w:p w14:paraId="75D9A6A0"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National Skills Authority (NSA). </w:t>
      </w:r>
      <w:r w:rsidRPr="005F62A4">
        <w:rPr>
          <w:rFonts w:ascii="Bookman Old Style" w:hAnsi="Bookman Old Style" w:cs="Segoe UI Light"/>
          <w:i/>
          <w:iCs/>
          <w:sz w:val="24"/>
          <w:lang w:val="en-GB"/>
        </w:rPr>
        <w:t>Guidelines for Quality Assurance of Work-Integrated Learning</w:t>
      </w:r>
      <w:r w:rsidRPr="005F62A4">
        <w:rPr>
          <w:rFonts w:ascii="Bookman Old Style" w:hAnsi="Bookman Old Style" w:cs="Segoe UI Light"/>
          <w:sz w:val="24"/>
          <w:lang w:val="en-GB"/>
        </w:rPr>
        <w:t>. [</w:t>
      </w:r>
      <w:hyperlink r:id="rId27" w:history="1">
        <w:r w:rsidRPr="005F62A4">
          <w:rPr>
            <w:rStyle w:val="Hyperlink"/>
            <w:rFonts w:ascii="Bookman Old Style" w:hAnsi="Bookman Old Style" w:cs="Segoe UI Light"/>
            <w:sz w:val="24"/>
            <w:lang w:val="en-GB"/>
          </w:rPr>
          <w:t>NSA</w:t>
        </w:r>
      </w:hyperlink>
      <w:r w:rsidRPr="005F62A4">
        <w:rPr>
          <w:rFonts w:ascii="Bookman Old Style" w:hAnsi="Bookman Old Style" w:cs="Segoe UI Light"/>
          <w:sz w:val="24"/>
          <w:lang w:val="en-GB"/>
        </w:rPr>
        <w:t>]</w:t>
      </w:r>
      <w:hyperlink r:id="rId28" w:anchor="fnref:6" w:tooltip="return to article" w:history="1">
        <w:r w:rsidRPr="005F62A4">
          <w:rPr>
            <w:rStyle w:val="Hyperlink"/>
            <w:rFonts w:ascii="Segoe UI Emoji" w:hAnsi="Segoe UI Emoji" w:cs="Segoe UI Emoji"/>
            <w:sz w:val="24"/>
            <w:lang w:val="en-GB"/>
          </w:rPr>
          <w:t>↩</w:t>
        </w:r>
      </w:hyperlink>
    </w:p>
    <w:p w14:paraId="39DA4242"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CHE (Council on Higher Education). </w:t>
      </w:r>
      <w:r w:rsidRPr="005F62A4">
        <w:rPr>
          <w:rFonts w:ascii="Bookman Old Style" w:hAnsi="Bookman Old Style" w:cs="Segoe UI Light"/>
          <w:i/>
          <w:iCs/>
          <w:sz w:val="24"/>
          <w:lang w:val="en-GB"/>
        </w:rPr>
        <w:t>Good Practice Guide for Work-Integrated Learning</w:t>
      </w:r>
      <w:r w:rsidRPr="005F62A4">
        <w:rPr>
          <w:rFonts w:ascii="Bookman Old Style" w:hAnsi="Bookman Old Style" w:cs="Segoe UI Light"/>
          <w:sz w:val="24"/>
          <w:lang w:val="en-GB"/>
        </w:rPr>
        <w:t>. [</w:t>
      </w:r>
      <w:hyperlink r:id="rId29" w:history="1">
        <w:r w:rsidRPr="005F62A4">
          <w:rPr>
            <w:rStyle w:val="Hyperlink"/>
            <w:rFonts w:ascii="Bookman Old Style" w:hAnsi="Bookman Old Style" w:cs="Segoe UI Light"/>
            <w:sz w:val="24"/>
            <w:lang w:val="en-GB"/>
          </w:rPr>
          <w:t>CHE</w:t>
        </w:r>
      </w:hyperlink>
      <w:r w:rsidRPr="005F62A4">
        <w:rPr>
          <w:rFonts w:ascii="Bookman Old Style" w:hAnsi="Bookman Old Style" w:cs="Segoe UI Light"/>
          <w:sz w:val="24"/>
          <w:lang w:val="en-GB"/>
        </w:rPr>
        <w:t>]</w:t>
      </w:r>
      <w:hyperlink r:id="rId30" w:anchor="fnref:7" w:tooltip="return to article" w:history="1">
        <w:r w:rsidRPr="005F62A4">
          <w:rPr>
            <w:rStyle w:val="Hyperlink"/>
            <w:rFonts w:ascii="Segoe UI Emoji" w:hAnsi="Segoe UI Emoji" w:cs="Segoe UI Emoji"/>
            <w:sz w:val="24"/>
            <w:lang w:val="en-GB"/>
          </w:rPr>
          <w:t>↩</w:t>
        </w:r>
      </w:hyperlink>
    </w:p>
    <w:p w14:paraId="052CBAD1" w14:textId="77777777" w:rsidR="005F62A4" w:rsidRPr="005F62A4" w:rsidRDefault="005F62A4" w:rsidP="008A5553">
      <w:pPr>
        <w:numPr>
          <w:ilvl w:val="0"/>
          <w:numId w:val="34"/>
        </w:numPr>
        <w:spacing w:line="360" w:lineRule="auto"/>
        <w:rPr>
          <w:rFonts w:ascii="Bookman Old Style" w:hAnsi="Bookman Old Style" w:cs="Segoe UI Light"/>
          <w:sz w:val="24"/>
          <w:lang w:val="en-GB"/>
        </w:rPr>
      </w:pPr>
      <w:r w:rsidRPr="005F62A4">
        <w:rPr>
          <w:rFonts w:ascii="Bookman Old Style" w:hAnsi="Bookman Old Style" w:cs="Segoe UI Light"/>
          <w:sz w:val="24"/>
          <w:lang w:val="en-GB"/>
        </w:rPr>
        <w:t>Department of Higher Education and Training (DHET). </w:t>
      </w:r>
      <w:r w:rsidRPr="005F62A4">
        <w:rPr>
          <w:rFonts w:ascii="Bookman Old Style" w:hAnsi="Bookman Old Style" w:cs="Segoe UI Light"/>
          <w:i/>
          <w:iCs/>
          <w:sz w:val="24"/>
          <w:lang w:val="en-GB"/>
        </w:rPr>
        <w:t>National Policy on the Provision of Work-Integrated Learning (WIL) for the Public Higher Education Sector</w:t>
      </w:r>
      <w:r w:rsidRPr="005F62A4">
        <w:rPr>
          <w:rFonts w:ascii="Bookman Old Style" w:hAnsi="Bookman Old Style" w:cs="Segoe UI Light"/>
          <w:sz w:val="24"/>
          <w:lang w:val="en-GB"/>
        </w:rPr>
        <w:t>. [</w:t>
      </w:r>
      <w:hyperlink r:id="rId31" w:history="1">
        <w:r w:rsidRPr="005F62A4">
          <w:rPr>
            <w:rStyle w:val="Hyperlink"/>
            <w:rFonts w:ascii="Bookman Old Style" w:hAnsi="Bookman Old Style" w:cs="Segoe UI Light"/>
            <w:sz w:val="24"/>
            <w:lang w:val="en-GB"/>
          </w:rPr>
          <w:t>DHET</w:t>
        </w:r>
      </w:hyperlink>
      <w:r w:rsidRPr="005F62A4">
        <w:rPr>
          <w:rFonts w:ascii="Bookman Old Style" w:hAnsi="Bookman Old Style" w:cs="Segoe UI Light"/>
          <w:sz w:val="24"/>
          <w:lang w:val="en-GB"/>
        </w:rPr>
        <w:t>]</w:t>
      </w:r>
      <w:hyperlink r:id="rId32" w:anchor="fnref:8" w:tooltip="return to article" w:history="1">
        <w:r w:rsidRPr="005F62A4">
          <w:rPr>
            <w:rStyle w:val="Hyperlink"/>
            <w:rFonts w:ascii="Segoe UI Emoji" w:hAnsi="Segoe UI Emoji" w:cs="Segoe UI Emoji"/>
            <w:sz w:val="24"/>
            <w:lang w:val="en-GB"/>
          </w:rPr>
          <w:t>↩</w:t>
        </w:r>
      </w:hyperlink>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33"/>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9F1ED" w14:textId="77777777" w:rsidR="001F7998" w:rsidRDefault="001F7998" w:rsidP="0078391C">
      <w:r>
        <w:separator/>
      </w:r>
    </w:p>
  </w:endnote>
  <w:endnote w:type="continuationSeparator" w:id="0">
    <w:p w14:paraId="31FA8763" w14:textId="77777777" w:rsidR="001F7998" w:rsidRDefault="001F7998"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MS Gothic"/>
    <w:panose1 w:val="02020609040205080304"/>
    <w:charset w:val="80"/>
    <w:family w:val="roman"/>
    <w:notTrueType/>
    <w:pitch w:val="fixed"/>
    <w:sig w:usb0="00000000" w:usb1="08070000" w:usb2="00000010" w:usb3="00000000" w:csb0="00020000"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eastAsia="en-ZA"/>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oel="http://schemas.microsoft.com/office/2019/extlst" xmlns:w16du="http://schemas.microsoft.com/office/word/2023/wordml/word16du" xmlns:mo="http://schemas.microsoft.com/office/mac/office/2008/main" xmlns:mv="urn:schemas-microsoft-com:mac:v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8A7959">
          <w:rPr>
            <w:rFonts w:cs="Segoe UI Light"/>
            <w:noProof/>
            <w:sz w:val="20"/>
            <w:szCs w:val="20"/>
          </w:rPr>
          <w:t>46</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B0247C" w14:textId="77777777" w:rsidR="001F7998" w:rsidRDefault="001F7998" w:rsidP="0078391C">
      <w:r>
        <w:separator/>
      </w:r>
    </w:p>
  </w:footnote>
  <w:footnote w:type="continuationSeparator" w:id="0">
    <w:p w14:paraId="5527AEA8" w14:textId="77777777" w:rsidR="001F7998" w:rsidRDefault="001F7998" w:rsidP="007839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149012AD"/>
    <w:multiLevelType w:val="hybridMultilevel"/>
    <w:tmpl w:val="86783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55632BA"/>
    <w:multiLevelType w:val="multilevel"/>
    <w:tmpl w:val="91EC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3">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3AE47BD6"/>
    <w:multiLevelType w:val="hybridMultilevel"/>
    <w:tmpl w:val="FD6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6">
    <w:nsid w:val="46032A6D"/>
    <w:multiLevelType w:val="hybridMultilevel"/>
    <w:tmpl w:val="FFE481EA"/>
    <w:lvl w:ilvl="0" w:tplc="18B401D0">
      <w:start w:val="1"/>
      <w:numFmt w:val="lowerLetter"/>
      <w:lvlText w:val="(%1)"/>
      <w:lvlJc w:val="left"/>
      <w:pPr>
        <w:ind w:left="780" w:hanging="4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18">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nsid w:val="51FF5820"/>
    <w:multiLevelType w:val="hybridMultilevel"/>
    <w:tmpl w:val="075E1B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2">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3">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4">
    <w:nsid w:val="5B56417A"/>
    <w:multiLevelType w:val="hybridMultilevel"/>
    <w:tmpl w:val="3C9E0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7">
    <w:nsid w:val="67B83916"/>
    <w:multiLevelType w:val="hybridMultilevel"/>
    <w:tmpl w:val="910884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3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4">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2"/>
  </w:num>
  <w:num w:numId="3">
    <w:abstractNumId w:val="13"/>
  </w:num>
  <w:num w:numId="4">
    <w:abstractNumId w:val="33"/>
  </w:num>
  <w:num w:numId="5">
    <w:abstractNumId w:val="28"/>
  </w:num>
  <w:num w:numId="6">
    <w:abstractNumId w:val="2"/>
  </w:num>
  <w:num w:numId="7">
    <w:abstractNumId w:val="17"/>
  </w:num>
  <w:num w:numId="8">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21"/>
  </w:num>
  <w:num w:numId="13">
    <w:abstractNumId w:val="12"/>
  </w:num>
  <w:num w:numId="14">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9"/>
  </w:num>
  <w:num w:numId="19">
    <w:abstractNumId w:val="0"/>
  </w:num>
  <w:num w:numId="20">
    <w:abstractNumId w:val="9"/>
  </w:num>
  <w:num w:numId="21">
    <w:abstractNumId w:val="25"/>
  </w:num>
  <w:num w:numId="22">
    <w:abstractNumId w:val="31"/>
  </w:num>
  <w:num w:numId="23">
    <w:abstractNumId w:val="36"/>
  </w:num>
  <w:num w:numId="24">
    <w:abstractNumId w:val="10"/>
  </w:num>
  <w:num w:numId="25">
    <w:abstractNumId w:val="26"/>
  </w:num>
  <w:num w:numId="26">
    <w:abstractNumId w:val="20"/>
  </w:num>
  <w:num w:numId="27">
    <w:abstractNumId w:val="35"/>
  </w:num>
  <w:num w:numId="28">
    <w:abstractNumId w:val="1"/>
  </w:num>
  <w:num w:numId="29">
    <w:abstractNumId w:val="30"/>
  </w:num>
  <w:num w:numId="30">
    <w:abstractNumId w:val="6"/>
  </w:num>
  <w:num w:numId="31">
    <w:abstractNumId w:val="32"/>
  </w:num>
  <w:num w:numId="32">
    <w:abstractNumId w:val="24"/>
  </w:num>
  <w:num w:numId="33">
    <w:abstractNumId w:val="14"/>
  </w:num>
  <w:num w:numId="34">
    <w:abstractNumId w:val="7"/>
  </w:num>
  <w:num w:numId="35">
    <w:abstractNumId w:val="27"/>
  </w:num>
  <w:num w:numId="36">
    <w:abstractNumId w:val="16"/>
  </w:num>
  <w:num w:numId="37">
    <w:abstractNumId w:val="1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4F8B"/>
    <w:rsid w:val="00035BD8"/>
    <w:rsid w:val="000375C1"/>
    <w:rsid w:val="0004006F"/>
    <w:rsid w:val="00040459"/>
    <w:rsid w:val="000428A2"/>
    <w:rsid w:val="00043E12"/>
    <w:rsid w:val="00046704"/>
    <w:rsid w:val="00047DB3"/>
    <w:rsid w:val="00052256"/>
    <w:rsid w:val="00052266"/>
    <w:rsid w:val="00052E83"/>
    <w:rsid w:val="00053FEA"/>
    <w:rsid w:val="000548A6"/>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1F7998"/>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2A4"/>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5E"/>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553"/>
    <w:rsid w:val="008A588C"/>
    <w:rsid w:val="008A6245"/>
    <w:rsid w:val="008A6600"/>
    <w:rsid w:val="008A6B40"/>
    <w:rsid w:val="008A7959"/>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45200"/>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0FBA"/>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4C34"/>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57"/>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basedOn w:val="TableNormal"/>
    <w:next w:val="TableGrid"/>
    <w:uiPriority w:val="59"/>
    <w:rsid w:val="009941F9"/>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customStyle="1"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9648103">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78006170">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6478841">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1750641">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8528910">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6381060">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684668273">
      <w:bodyDiv w:val="1"/>
      <w:marLeft w:val="0"/>
      <w:marRight w:val="0"/>
      <w:marTop w:val="0"/>
      <w:marBottom w:val="0"/>
      <w:divBdr>
        <w:top w:val="none" w:sz="0" w:space="0" w:color="auto"/>
        <w:left w:val="none" w:sz="0" w:space="0" w:color="auto"/>
        <w:bottom w:val="none" w:sz="0" w:space="0" w:color="auto"/>
        <w:right w:val="none" w:sz="0" w:space="0" w:color="auto"/>
      </w:divBdr>
    </w:div>
    <w:div w:id="68506030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1971823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4323547">
      <w:bodyDiv w:val="1"/>
      <w:marLeft w:val="0"/>
      <w:marRight w:val="0"/>
      <w:marTop w:val="0"/>
      <w:marBottom w:val="0"/>
      <w:divBdr>
        <w:top w:val="none" w:sz="0" w:space="0" w:color="auto"/>
        <w:left w:val="none" w:sz="0" w:space="0" w:color="auto"/>
        <w:bottom w:val="none" w:sz="0" w:space="0" w:color="auto"/>
        <w:right w:val="none" w:sz="0" w:space="0" w:color="auto"/>
      </w:divBdr>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6570913">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17690">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68886400">
      <w:bodyDiv w:val="1"/>
      <w:marLeft w:val="0"/>
      <w:marRight w:val="0"/>
      <w:marTop w:val="0"/>
      <w:marBottom w:val="0"/>
      <w:divBdr>
        <w:top w:val="none" w:sz="0" w:space="0" w:color="auto"/>
        <w:left w:val="none" w:sz="0" w:space="0" w:color="auto"/>
        <w:bottom w:val="none" w:sz="0" w:space="0" w:color="auto"/>
        <w:right w:val="none" w:sz="0" w:space="0" w:color="auto"/>
      </w:divBdr>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2546706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3753174">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4359757">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0179724">
      <w:bodyDiv w:val="1"/>
      <w:marLeft w:val="0"/>
      <w:marRight w:val="0"/>
      <w:marTop w:val="0"/>
      <w:marBottom w:val="0"/>
      <w:divBdr>
        <w:top w:val="none" w:sz="0" w:space="0" w:color="auto"/>
        <w:left w:val="none" w:sz="0" w:space="0" w:color="auto"/>
        <w:bottom w:val="none" w:sz="0" w:space="0" w:color="auto"/>
        <w:right w:val="none" w:sz="0" w:space="0" w:color="auto"/>
      </w:divBdr>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6408723">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 w:id="2147353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reers24.com/" TargetMode="External"/><Relationship Id="rId18" Type="http://schemas.openxmlformats.org/officeDocument/2006/relationships/hyperlink" Target="https://www.saqa.org.za/" TargetMode="External"/><Relationship Id="rId26" Type="http://schemas.openxmlformats.org/officeDocument/2006/relationships/hyperlink" Target="https://iask.ai/q/work-based-learning-learner-progression-evaluation-south-africa-documentatio-g8n0cao" TargetMode="External"/><Relationship Id="rId3" Type="http://schemas.openxmlformats.org/officeDocument/2006/relationships/styles" Target="styles.xml"/><Relationship Id="rId21" Type="http://schemas.openxmlformats.org/officeDocument/2006/relationships/hyperlink" Target="https://iask.ai/q/work-based-learning-learner-progression-evaluation-south-africa-documentatio-g8n0cao"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ask.ai/q/work-based-learning-South-Africa-planning-scheduling-6sbqnko" TargetMode="External"/><Relationship Id="rId17" Type="http://schemas.openxmlformats.org/officeDocument/2006/relationships/hyperlink" Target="https://iask.ai/q/work-based-learning-learner-progression-evaluation-south-africa-documentatio-g8n0cao" TargetMode="External"/><Relationship Id="rId25" Type="http://schemas.openxmlformats.org/officeDocument/2006/relationships/hyperlink" Target="https://www.dhet.gov.za/"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ask.ai/q/work-based-learning-south-africa-learner-progression-evaluation-tasks-1ee8o6o" TargetMode="External"/><Relationship Id="rId20" Type="http://schemas.openxmlformats.org/officeDocument/2006/relationships/hyperlink" Target="https://www.dhet.gov.za/" TargetMode="External"/><Relationship Id="rId29" Type="http://schemas.openxmlformats.org/officeDocument/2006/relationships/hyperlink" Target="https://www.che.ac.z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reers24.com/" TargetMode="External"/><Relationship Id="rId24" Type="http://schemas.openxmlformats.org/officeDocument/2006/relationships/hyperlink" Target="https://iask.ai/q/work-based-learning-learner-progression-evaluation-south-africa-documentatio-g8n0cao" TargetMode="External"/><Relationship Id="rId32" Type="http://schemas.openxmlformats.org/officeDocument/2006/relationships/hyperlink" Target="https://iask.ai/q/work-based-learning-learner-progression-evaluation-south-africa-documentatio-g8n0cao" TargetMode="External"/><Relationship Id="rId5" Type="http://schemas.openxmlformats.org/officeDocument/2006/relationships/webSettings" Target="webSettings.xml"/><Relationship Id="rId15" Type="http://schemas.openxmlformats.org/officeDocument/2006/relationships/hyperlink" Target="https://iask.ai/q/work-based-learning-south-africa-learner-progression-evaluation-tasks-1ee8o6o" TargetMode="External"/><Relationship Id="rId23" Type="http://schemas.openxmlformats.org/officeDocument/2006/relationships/hyperlink" Target="https://www.qcto.org.za/" TargetMode="External"/><Relationship Id="rId28" Type="http://schemas.openxmlformats.org/officeDocument/2006/relationships/hyperlink" Target="https://iask.ai/q/work-based-learning-learner-progression-evaluation-south-africa-documentatio-g8n0cao" TargetMode="External"/><Relationship Id="rId10" Type="http://schemas.openxmlformats.org/officeDocument/2006/relationships/hyperlink" Target="https://iask.ai/q/work-based-learning-South-Africa-planning-scheduling-6sbqnko" TargetMode="External"/><Relationship Id="rId19" Type="http://schemas.openxmlformats.org/officeDocument/2006/relationships/hyperlink" Target="https://iask.ai/q/work-based-learning-learner-progression-evaluation-south-africa-documentatio-g8n0cao" TargetMode="External"/><Relationship Id="rId31" Type="http://schemas.openxmlformats.org/officeDocument/2006/relationships/hyperlink" Target="https://www.dhet.gov.za/" TargetMode="External"/><Relationship Id="rId4" Type="http://schemas.openxmlformats.org/officeDocument/2006/relationships/settings" Target="settings.xml"/><Relationship Id="rId9" Type="http://schemas.openxmlformats.org/officeDocument/2006/relationships/hyperlink" Target="https://iask.ai/q/delivery-models-work-based-learning-south-africa-vjnv4lo" TargetMode="External"/><Relationship Id="rId14" Type="http://schemas.openxmlformats.org/officeDocument/2006/relationships/hyperlink" Target="https://iask.ai/q/work-based-learning-facilitation-coaching-principles-South-Africa-v8cl2d8" TargetMode="External"/><Relationship Id="rId22" Type="http://schemas.openxmlformats.org/officeDocument/2006/relationships/hyperlink" Target="https://iask.ai/q/work-based-learning-learner-progression-evaluation-south-africa-documentatio-g8n0cao" TargetMode="External"/><Relationship Id="rId27" Type="http://schemas.openxmlformats.org/officeDocument/2006/relationships/hyperlink" Target="https://www.nationalskillsauthority.org.za/" TargetMode="External"/><Relationship Id="rId30" Type="http://schemas.openxmlformats.org/officeDocument/2006/relationships/hyperlink" Target="https://iask.ai/q/work-based-learning-learner-progression-evaluation-south-africa-documentatio-g8n0cao"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65178-CB75-4B53-B4F4-ED062C803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4646</TotalTime>
  <Pages>48</Pages>
  <Words>13032</Words>
  <Characters>74288</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87146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makhadi Walter</cp:lastModifiedBy>
  <cp:revision>477</cp:revision>
  <cp:lastPrinted>2017-07-28T11:51:00Z</cp:lastPrinted>
  <dcterms:created xsi:type="dcterms:W3CDTF">2021-08-11T05:48:00Z</dcterms:created>
  <dcterms:modified xsi:type="dcterms:W3CDTF">2025-10-19T05:38:00Z</dcterms:modified>
</cp:coreProperties>
</file>