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58AEC" w14:textId="77777777"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E36610C" w14:textId="4D8FC4EC" w:rsidR="009656CE" w:rsidRDefault="00C45200" w:rsidP="005B1D66">
      <w:pPr>
        <w:spacing w:line="360" w:lineRule="auto"/>
        <w:jc w:val="center"/>
        <w:rPr>
          <w:rFonts w:ascii="Bookman Old Style" w:eastAsia="Calibri" w:hAnsi="Bookman Old Style" w:cs="Segoe UI Light"/>
          <w:b/>
          <w:color w:val="00B050"/>
          <w:sz w:val="44"/>
          <w:szCs w:val="44"/>
          <w:lang w:val="en-GB"/>
        </w:rPr>
      </w:pPr>
      <w:r w:rsidRPr="00C45200">
        <w:rPr>
          <w:rFonts w:ascii="Bookman Old Style" w:eastAsia="Calibri" w:hAnsi="Bookman Old Style" w:cs="Segoe UI Light"/>
          <w:b/>
          <w:color w:val="00B050"/>
          <w:sz w:val="44"/>
          <w:szCs w:val="44"/>
          <w:lang w:val="en-GB"/>
        </w:rPr>
        <w:t>242401001-KM-07, Work based learning, NQF Level 5, Credits 6</w:t>
      </w:r>
    </w:p>
    <w:p w14:paraId="1F8263A2" w14:textId="683505C8"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52BB1E1" w14:textId="77777777" w:rsidR="00C45200" w:rsidRPr="005F2329" w:rsidRDefault="00C45200" w:rsidP="005B1D66">
      <w:pPr>
        <w:spacing w:line="360" w:lineRule="auto"/>
        <w:jc w:val="center"/>
        <w:rPr>
          <w:rFonts w:ascii="Bookman Old Style" w:eastAsia="Calibri" w:hAnsi="Bookman Old Style" w:cs="Segoe UI Light"/>
          <w:b/>
          <w:color w:val="3F0065"/>
          <w:sz w:val="44"/>
          <w:szCs w:val="44"/>
          <w:lang w:val="en-GB"/>
        </w:rPr>
      </w:pPr>
    </w:p>
    <w:p w14:paraId="0E8A2279" w14:textId="77777777" w:rsidR="00453518" w:rsidRDefault="00453518" w:rsidP="005B1D66">
      <w:pPr>
        <w:spacing w:line="360" w:lineRule="auto"/>
        <w:jc w:val="center"/>
        <w:rPr>
          <w:rFonts w:ascii="Bookman Old Style" w:eastAsia="Calibri" w:hAnsi="Bookman Old Style" w:cs="Segoe UI Light"/>
          <w:b/>
          <w:color w:val="3F0065"/>
          <w:sz w:val="44"/>
          <w:szCs w:val="44"/>
          <w:lang w:val="en-GB"/>
        </w:rPr>
      </w:pPr>
      <w:r w:rsidRPr="00453518">
        <w:rPr>
          <w:rFonts w:ascii="Bookman Old Style" w:eastAsia="Calibri" w:hAnsi="Bookman Old Style" w:cs="Segoe UI Light"/>
          <w:b/>
          <w:color w:val="3F0065"/>
          <w:sz w:val="44"/>
          <w:szCs w:val="44"/>
          <w:lang w:val="en-GB"/>
        </w:rPr>
        <w:t>Summative Assessment memo</w:t>
      </w:r>
    </w:p>
    <w:p w14:paraId="31AB98F7" w14:textId="1EC88B06"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 xml:space="preserve">MODULE </w:t>
      </w:r>
      <w:r w:rsidR="00C45200">
        <w:rPr>
          <w:rFonts w:ascii="Bookman Old Style" w:eastAsia="Calibri" w:hAnsi="Bookman Old Style" w:cs="Segoe UI Light"/>
          <w:b/>
          <w:color w:val="0D0D0D" w:themeColor="text1" w:themeTint="F2"/>
          <w:sz w:val="44"/>
          <w:szCs w:val="44"/>
          <w:lang w:val="en-GB"/>
        </w:rPr>
        <w:t>SEVEN</w:t>
      </w:r>
      <w:r w:rsidRPr="009656CE">
        <w:rPr>
          <w:rFonts w:ascii="Bookman Old Style" w:eastAsia="Calibri" w:hAnsi="Bookman Old Style" w:cs="Segoe UI Light"/>
          <w:b/>
          <w:color w:val="0D0D0D" w:themeColor="text1" w:themeTint="F2"/>
          <w:sz w:val="44"/>
          <w:szCs w:val="44"/>
          <w:lang w:val="en-GB"/>
        </w:rPr>
        <w:t xml:space="preserve"> (</w:t>
      </w:r>
      <w:r w:rsidR="00C45200">
        <w:rPr>
          <w:rFonts w:ascii="Bookman Old Style" w:eastAsia="Calibri" w:hAnsi="Bookman Old Style" w:cs="Segoe UI Light"/>
          <w:b/>
          <w:color w:val="0D0D0D" w:themeColor="text1" w:themeTint="F2"/>
          <w:sz w:val="44"/>
          <w:szCs w:val="44"/>
          <w:lang w:val="en-GB"/>
        </w:rPr>
        <w:t>7</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2BF12C05"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w:t>
            </w:r>
            <w:r w:rsidR="00C45200">
              <w:rPr>
                <w:rFonts w:ascii="Bookman Old Style" w:eastAsiaTheme="minorHAnsi" w:hAnsi="Bookman Old Style" w:cs="Segoe UI Light"/>
                <w:sz w:val="24"/>
              </w:rPr>
              <w:t>7</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536259B2"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54A26F20"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19B3AFF7" w14:textId="01A0A99A"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w:t>
      </w:r>
      <w:proofErr w:type="gramStart"/>
      <w:r w:rsidRPr="00C45200">
        <w:rPr>
          <w:rFonts w:ascii="Bookman Old Style" w:hAnsi="Bookman Old Style" w:cs="Segoe UI Light"/>
          <w:sz w:val="24"/>
          <w:lang w:val="en-GB"/>
        </w:rPr>
        <w:t>main focus</w:t>
      </w:r>
      <w:proofErr w:type="gramEnd"/>
      <w:r w:rsidRPr="00C45200">
        <w:rPr>
          <w:rFonts w:ascii="Bookman Old Style" w:hAnsi="Bookman Old Style" w:cs="Segoe UI Light"/>
          <w:sz w:val="24"/>
          <w:lang w:val="en-GB"/>
        </w:rPr>
        <w:t xml:space="preserve"> of the learning in this knowledge module is to build an understanding of work-based learning and learner support practices. </w:t>
      </w:r>
    </w:p>
    <w:p w14:paraId="1D7245B7" w14:textId="77777777"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learning will enable learners to demonstrate an understanding of: </w:t>
      </w:r>
    </w:p>
    <w:p w14:paraId="6364200C" w14:textId="2A7EA60F"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KM-07-KT01: Delivery models (learnerships, internships, experiential learning, apprenticeships) (30%) </w:t>
      </w:r>
    </w:p>
    <w:p w14:paraId="132E4A79" w14:textId="57B54C9D"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KM-07-KT02: Planning and scheduling work-based learning (20%) </w:t>
      </w:r>
    </w:p>
    <w:p w14:paraId="71EBBCD3" w14:textId="190D07A3"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KM-07-KT03: Facilitation of work-based learning (30%) </w:t>
      </w:r>
    </w:p>
    <w:p w14:paraId="62D67F37" w14:textId="50962A31" w:rsidR="005B1D66"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KM-07-KT04: Evaluation of learner progression (20%) </w:t>
      </w:r>
      <w:r w:rsidR="005B1D66" w:rsidRPr="00C45200">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w:t>
      </w:r>
      <w:proofErr w:type="gramStart"/>
      <w:r w:rsidRPr="009656CE">
        <w:rPr>
          <w:rFonts w:ascii="Bookman Old Style" w:hAnsi="Bookman Old Style" w:cs="Segoe UI Light"/>
          <w:sz w:val="24"/>
        </w:rPr>
        <w:t>experience</w:t>
      </w:r>
      <w:proofErr w:type="gramEnd"/>
      <w:r w:rsidRPr="009656CE">
        <w:rPr>
          <w:rFonts w:ascii="Bookman Old Style" w:hAnsi="Bookman Old Style" w:cs="Segoe UI Light"/>
          <w:sz w:val="24"/>
        </w:rPr>
        <w:t xml:space="preserv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w:t>
      </w:r>
      <w:proofErr w:type="gramStart"/>
      <w:r w:rsidRPr="009656CE">
        <w:rPr>
          <w:rFonts w:ascii="Bookman Old Style" w:hAnsi="Bookman Old Style" w:cs="Segoe UI Light"/>
          <w:sz w:val="24"/>
        </w:rPr>
        <w:t>assignment</w:t>
      </w:r>
      <w:proofErr w:type="gramEnd"/>
      <w:r w:rsidRPr="009656CE">
        <w:rPr>
          <w:rFonts w:ascii="Bookman Old Style" w:hAnsi="Bookman Old Style" w:cs="Segoe UI Light"/>
          <w:sz w:val="24"/>
        </w:rPr>
        <w:t xml:space="preserve">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w:t>
      </w:r>
      <w:proofErr w:type="gramStart"/>
      <w:r w:rsidRPr="009656CE">
        <w:rPr>
          <w:rFonts w:ascii="Bookman Old Style" w:hAnsi="Bookman Old Style" w:cs="Segoe UI Light"/>
          <w:sz w:val="24"/>
        </w:rPr>
        <w:t>know</w:t>
      </w:r>
      <w:proofErr w:type="gramEnd"/>
      <w:r w:rsidRPr="009656CE">
        <w:rPr>
          <w:rFonts w:ascii="Bookman Old Style" w:hAnsi="Bookman Old Style" w:cs="Segoe UI Light"/>
          <w:sz w:val="24"/>
        </w:rPr>
        <w:t xml:space="preserve">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w:t>
      </w:r>
      <w:proofErr w:type="gramStart"/>
      <w:r w:rsidRPr="009656CE">
        <w:rPr>
          <w:rFonts w:ascii="Bookman Old Style" w:hAnsi="Bookman Old Style" w:cs="Segoe UI Light"/>
          <w:sz w:val="24"/>
        </w:rPr>
        <w:t>Moderated</w:t>
      </w:r>
      <w:proofErr w:type="gramEnd"/>
      <w:r w:rsidRPr="009656CE">
        <w:rPr>
          <w:rFonts w:ascii="Bookman Old Style" w:hAnsi="Bookman Old Style" w:cs="Segoe UI Light"/>
          <w:sz w:val="24"/>
        </w:rPr>
        <w:t xml:space="preserve">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w:t>
      </w:r>
      <w:proofErr w:type="gramStart"/>
      <w:r w:rsidRPr="009656CE">
        <w:rPr>
          <w:rFonts w:ascii="Bookman Old Style" w:hAnsi="Bookman Old Style" w:cs="Segoe UI Light"/>
          <w:sz w:val="24"/>
        </w:rPr>
        <w:t>have to</w:t>
      </w:r>
      <w:proofErr w:type="gramEnd"/>
      <w:r w:rsidRPr="009656CE">
        <w:rPr>
          <w:rFonts w:ascii="Bookman Old Style" w:hAnsi="Bookman Old Style" w:cs="Segoe UI Light"/>
          <w:sz w:val="24"/>
        </w:rPr>
        <w:t xml:space="preserve">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submitted EVIDENCE REQUIRED BY EACH LEARNER: The practical task(s) shall </w:t>
      </w:r>
      <w:r w:rsidRPr="009656CE">
        <w:rPr>
          <w:rFonts w:ascii="Bookman Old Style" w:hAnsi="Bookman Old Style" w:cs="Segoe UI Light"/>
          <w:sz w:val="24"/>
        </w:rPr>
        <w:lastRenderedPageBreak/>
        <w:t xml:space="preserve">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is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w:t>
      </w:r>
      <w:proofErr w:type="gramStart"/>
      <w:r w:rsidRPr="009656CE">
        <w:rPr>
          <w:rFonts w:ascii="Bookman Old Style" w:hAnsi="Bookman Old Style" w:cs="Segoe UI Light"/>
          <w:sz w:val="24"/>
        </w:rPr>
        <w:t>in order for</w:t>
      </w:r>
      <w:proofErr w:type="gramEnd"/>
      <w:r w:rsidRPr="009656CE">
        <w:rPr>
          <w:rFonts w:ascii="Bookman Old Style" w:hAnsi="Bookman Old Style" w:cs="Segoe UI Light"/>
          <w:sz w:val="24"/>
        </w:rPr>
        <w:t xml:space="preserve">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277"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58098A78" w14:textId="04DF4517" w:rsidR="00C45200"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277" w:history="1">
            <w:r w:rsidR="00C45200" w:rsidRPr="00920144">
              <w:rPr>
                <w:rStyle w:val="Hyperlink"/>
                <w:rFonts w:ascii="Bookman Old Style" w:hAnsi="Bookman Old Style"/>
                <w:noProof/>
              </w:rPr>
              <w:t>TABLE OF CONTENTS</w:t>
            </w:r>
            <w:r w:rsidR="00C45200">
              <w:rPr>
                <w:noProof/>
                <w:webHidden/>
              </w:rPr>
              <w:tab/>
            </w:r>
            <w:r w:rsidR="00C45200">
              <w:rPr>
                <w:noProof/>
                <w:webHidden/>
              </w:rPr>
              <w:fldChar w:fldCharType="begin"/>
            </w:r>
            <w:r w:rsidR="00C45200">
              <w:rPr>
                <w:noProof/>
                <w:webHidden/>
              </w:rPr>
              <w:instrText xml:space="preserve"> PAGEREF _Toc211698277 \h </w:instrText>
            </w:r>
            <w:r w:rsidR="00C45200">
              <w:rPr>
                <w:noProof/>
                <w:webHidden/>
              </w:rPr>
            </w:r>
            <w:r w:rsidR="00C45200">
              <w:rPr>
                <w:noProof/>
                <w:webHidden/>
              </w:rPr>
              <w:fldChar w:fldCharType="separate"/>
            </w:r>
            <w:r w:rsidR="00C45200">
              <w:rPr>
                <w:noProof/>
                <w:webHidden/>
              </w:rPr>
              <w:t>7</w:t>
            </w:r>
            <w:r w:rsidR="00C45200">
              <w:rPr>
                <w:noProof/>
                <w:webHidden/>
              </w:rPr>
              <w:fldChar w:fldCharType="end"/>
            </w:r>
          </w:hyperlink>
        </w:p>
        <w:p w14:paraId="0111F6C3" w14:textId="5E0FD5CB" w:rsidR="00C45200" w:rsidRDefault="00873D26">
          <w:pPr>
            <w:pStyle w:val="TOC1"/>
            <w:rPr>
              <w:rFonts w:asciiTheme="minorHAnsi" w:eastAsiaTheme="minorEastAsia" w:hAnsiTheme="minorHAnsi" w:cstheme="minorBidi"/>
              <w:noProof/>
              <w:szCs w:val="22"/>
              <w:lang w:val="en-GB" w:eastAsia="en-GB"/>
            </w:rPr>
          </w:pPr>
          <w:hyperlink w:anchor="_Toc211698278" w:history="1">
            <w:r w:rsidR="00C45200" w:rsidRPr="00920144">
              <w:rPr>
                <w:rStyle w:val="Hyperlink"/>
                <w:rFonts w:ascii="Bookman Old Style" w:hAnsi="Bookman Old Style"/>
                <w:noProof/>
              </w:rPr>
              <w:t>PURPOSE OF THE QUALIFICATION</w:t>
            </w:r>
            <w:r w:rsidR="00C45200">
              <w:rPr>
                <w:noProof/>
                <w:webHidden/>
              </w:rPr>
              <w:tab/>
            </w:r>
            <w:r w:rsidR="00C45200">
              <w:rPr>
                <w:noProof/>
                <w:webHidden/>
              </w:rPr>
              <w:fldChar w:fldCharType="begin"/>
            </w:r>
            <w:r w:rsidR="00C45200">
              <w:rPr>
                <w:noProof/>
                <w:webHidden/>
              </w:rPr>
              <w:instrText xml:space="preserve"> PAGEREF _Toc211698278 \h </w:instrText>
            </w:r>
            <w:r w:rsidR="00C45200">
              <w:rPr>
                <w:noProof/>
                <w:webHidden/>
              </w:rPr>
            </w:r>
            <w:r w:rsidR="00C45200">
              <w:rPr>
                <w:noProof/>
                <w:webHidden/>
              </w:rPr>
              <w:fldChar w:fldCharType="separate"/>
            </w:r>
            <w:r w:rsidR="00C45200">
              <w:rPr>
                <w:noProof/>
                <w:webHidden/>
              </w:rPr>
              <w:t>8</w:t>
            </w:r>
            <w:r w:rsidR="00C45200">
              <w:rPr>
                <w:noProof/>
                <w:webHidden/>
              </w:rPr>
              <w:fldChar w:fldCharType="end"/>
            </w:r>
          </w:hyperlink>
        </w:p>
        <w:p w14:paraId="29345029" w14:textId="7C47307F" w:rsidR="00C45200" w:rsidRDefault="00873D26">
          <w:pPr>
            <w:pStyle w:val="TOC1"/>
            <w:rPr>
              <w:rFonts w:asciiTheme="minorHAnsi" w:eastAsiaTheme="minorEastAsia" w:hAnsiTheme="minorHAnsi" w:cstheme="minorBidi"/>
              <w:noProof/>
              <w:szCs w:val="22"/>
              <w:lang w:val="en-GB" w:eastAsia="en-GB"/>
            </w:rPr>
          </w:pPr>
          <w:hyperlink w:anchor="_Toc211698279" w:history="1">
            <w:r w:rsidR="00C45200" w:rsidRPr="00920144">
              <w:rPr>
                <w:rStyle w:val="Hyperlink"/>
                <w:rFonts w:ascii="Bookman Old Style" w:hAnsi="Bookman Old Style"/>
                <w:noProof/>
              </w:rPr>
              <w:t>QUALIFICATION RULES</w:t>
            </w:r>
            <w:r w:rsidR="00C45200">
              <w:rPr>
                <w:noProof/>
                <w:webHidden/>
              </w:rPr>
              <w:tab/>
            </w:r>
            <w:r w:rsidR="00C45200">
              <w:rPr>
                <w:noProof/>
                <w:webHidden/>
              </w:rPr>
              <w:fldChar w:fldCharType="begin"/>
            </w:r>
            <w:r w:rsidR="00C45200">
              <w:rPr>
                <w:noProof/>
                <w:webHidden/>
              </w:rPr>
              <w:instrText xml:space="preserve"> PAGEREF _Toc211698279 \h </w:instrText>
            </w:r>
            <w:r w:rsidR="00C45200">
              <w:rPr>
                <w:noProof/>
                <w:webHidden/>
              </w:rPr>
            </w:r>
            <w:r w:rsidR="00C45200">
              <w:rPr>
                <w:noProof/>
                <w:webHidden/>
              </w:rPr>
              <w:fldChar w:fldCharType="separate"/>
            </w:r>
            <w:r w:rsidR="00C45200">
              <w:rPr>
                <w:noProof/>
                <w:webHidden/>
              </w:rPr>
              <w:t>9</w:t>
            </w:r>
            <w:r w:rsidR="00C45200">
              <w:rPr>
                <w:noProof/>
                <w:webHidden/>
              </w:rPr>
              <w:fldChar w:fldCharType="end"/>
            </w:r>
          </w:hyperlink>
        </w:p>
        <w:p w14:paraId="56F40D03" w14:textId="6024E2BE" w:rsidR="00C45200" w:rsidRDefault="00873D26">
          <w:pPr>
            <w:pStyle w:val="TOC1"/>
            <w:rPr>
              <w:rFonts w:asciiTheme="minorHAnsi" w:eastAsiaTheme="minorEastAsia" w:hAnsiTheme="minorHAnsi" w:cstheme="minorBidi"/>
              <w:noProof/>
              <w:szCs w:val="22"/>
              <w:lang w:val="en-GB" w:eastAsia="en-GB"/>
            </w:rPr>
          </w:pPr>
          <w:hyperlink w:anchor="_Toc211698280" w:history="1">
            <w:r w:rsidR="00C45200" w:rsidRPr="00920144">
              <w:rPr>
                <w:rStyle w:val="Hyperlink"/>
                <w:rFonts w:ascii="Bookman Old Style" w:hAnsi="Bookman Old Style"/>
                <w:noProof/>
              </w:rPr>
              <w:t>EXIT LEVEL OUTCOMES</w:t>
            </w:r>
            <w:r w:rsidR="00C45200">
              <w:rPr>
                <w:noProof/>
                <w:webHidden/>
              </w:rPr>
              <w:tab/>
            </w:r>
            <w:r w:rsidR="00C45200">
              <w:rPr>
                <w:noProof/>
                <w:webHidden/>
              </w:rPr>
              <w:fldChar w:fldCharType="begin"/>
            </w:r>
            <w:r w:rsidR="00C45200">
              <w:rPr>
                <w:noProof/>
                <w:webHidden/>
              </w:rPr>
              <w:instrText xml:space="preserve"> PAGEREF _Toc211698280 \h </w:instrText>
            </w:r>
            <w:r w:rsidR="00C45200">
              <w:rPr>
                <w:noProof/>
                <w:webHidden/>
              </w:rPr>
            </w:r>
            <w:r w:rsidR="00C45200">
              <w:rPr>
                <w:noProof/>
                <w:webHidden/>
              </w:rPr>
              <w:fldChar w:fldCharType="separate"/>
            </w:r>
            <w:r w:rsidR="00C45200">
              <w:rPr>
                <w:noProof/>
                <w:webHidden/>
              </w:rPr>
              <w:t>10</w:t>
            </w:r>
            <w:r w:rsidR="00C45200">
              <w:rPr>
                <w:noProof/>
                <w:webHidden/>
              </w:rPr>
              <w:fldChar w:fldCharType="end"/>
            </w:r>
          </w:hyperlink>
        </w:p>
        <w:p w14:paraId="6BA40271" w14:textId="6146C11E" w:rsidR="00C45200" w:rsidRDefault="00873D26">
          <w:pPr>
            <w:pStyle w:val="TOC1"/>
            <w:rPr>
              <w:rFonts w:asciiTheme="minorHAnsi" w:eastAsiaTheme="minorEastAsia" w:hAnsiTheme="minorHAnsi" w:cstheme="minorBidi"/>
              <w:noProof/>
              <w:szCs w:val="22"/>
              <w:lang w:val="en-GB" w:eastAsia="en-GB"/>
            </w:rPr>
          </w:pPr>
          <w:hyperlink w:anchor="_Toc211698281" w:history="1">
            <w:r w:rsidR="00C45200" w:rsidRPr="00920144">
              <w:rPr>
                <w:rStyle w:val="Hyperlink"/>
                <w:rFonts w:ascii="Bookman Old Style" w:hAnsi="Bookman Old Style"/>
                <w:noProof/>
              </w:rPr>
              <w:t>KM-07-KT01: Delivery models (learnerships, internships, experiential learning, apprenticeships) (30%)</w:t>
            </w:r>
            <w:r w:rsidR="00C45200">
              <w:rPr>
                <w:noProof/>
                <w:webHidden/>
              </w:rPr>
              <w:tab/>
            </w:r>
            <w:r w:rsidR="00C45200">
              <w:rPr>
                <w:noProof/>
                <w:webHidden/>
              </w:rPr>
              <w:fldChar w:fldCharType="begin"/>
            </w:r>
            <w:r w:rsidR="00C45200">
              <w:rPr>
                <w:noProof/>
                <w:webHidden/>
              </w:rPr>
              <w:instrText xml:space="preserve"> PAGEREF _Toc211698281 \h </w:instrText>
            </w:r>
            <w:r w:rsidR="00C45200">
              <w:rPr>
                <w:noProof/>
                <w:webHidden/>
              </w:rPr>
            </w:r>
            <w:r w:rsidR="00C45200">
              <w:rPr>
                <w:noProof/>
                <w:webHidden/>
              </w:rPr>
              <w:fldChar w:fldCharType="separate"/>
            </w:r>
            <w:r w:rsidR="00C45200">
              <w:rPr>
                <w:noProof/>
                <w:webHidden/>
              </w:rPr>
              <w:t>11</w:t>
            </w:r>
            <w:r w:rsidR="00C45200">
              <w:rPr>
                <w:noProof/>
                <w:webHidden/>
              </w:rPr>
              <w:fldChar w:fldCharType="end"/>
            </w:r>
          </w:hyperlink>
        </w:p>
        <w:p w14:paraId="0DFEA330" w14:textId="1B145201" w:rsidR="00C45200" w:rsidRDefault="00873D26">
          <w:pPr>
            <w:pStyle w:val="TOC1"/>
            <w:rPr>
              <w:rFonts w:asciiTheme="minorHAnsi" w:eastAsiaTheme="minorEastAsia" w:hAnsiTheme="minorHAnsi" w:cstheme="minorBidi"/>
              <w:noProof/>
              <w:szCs w:val="22"/>
              <w:lang w:val="en-GB" w:eastAsia="en-GB"/>
            </w:rPr>
          </w:pPr>
          <w:hyperlink w:anchor="_Toc211698282" w:history="1">
            <w:r w:rsidR="00C45200" w:rsidRPr="00920144">
              <w:rPr>
                <w:rStyle w:val="Hyperlink"/>
                <w:rFonts w:ascii="Bookman Old Style" w:hAnsi="Bookman Old Style"/>
                <w:bCs/>
                <w:noProof/>
              </w:rPr>
              <w:t>KM-07-KT02: Planning and scheduling work-based learning (20%)</w:t>
            </w:r>
            <w:r w:rsidR="00C45200">
              <w:rPr>
                <w:noProof/>
                <w:webHidden/>
              </w:rPr>
              <w:tab/>
            </w:r>
            <w:r w:rsidR="00C45200">
              <w:rPr>
                <w:noProof/>
                <w:webHidden/>
              </w:rPr>
              <w:fldChar w:fldCharType="begin"/>
            </w:r>
            <w:r w:rsidR="00C45200">
              <w:rPr>
                <w:noProof/>
                <w:webHidden/>
              </w:rPr>
              <w:instrText xml:space="preserve"> PAGEREF _Toc211698282 \h </w:instrText>
            </w:r>
            <w:r w:rsidR="00C45200">
              <w:rPr>
                <w:noProof/>
                <w:webHidden/>
              </w:rPr>
            </w:r>
            <w:r w:rsidR="00C45200">
              <w:rPr>
                <w:noProof/>
                <w:webHidden/>
              </w:rPr>
              <w:fldChar w:fldCharType="separate"/>
            </w:r>
            <w:r w:rsidR="00C45200">
              <w:rPr>
                <w:noProof/>
                <w:webHidden/>
              </w:rPr>
              <w:t>12</w:t>
            </w:r>
            <w:r w:rsidR="00C45200">
              <w:rPr>
                <w:noProof/>
                <w:webHidden/>
              </w:rPr>
              <w:fldChar w:fldCharType="end"/>
            </w:r>
          </w:hyperlink>
        </w:p>
        <w:p w14:paraId="7CC71EE8" w14:textId="46E83A6B" w:rsidR="00C45200" w:rsidRDefault="00873D26">
          <w:pPr>
            <w:pStyle w:val="TOC1"/>
            <w:rPr>
              <w:rFonts w:asciiTheme="minorHAnsi" w:eastAsiaTheme="minorEastAsia" w:hAnsiTheme="minorHAnsi" w:cstheme="minorBidi"/>
              <w:noProof/>
              <w:szCs w:val="22"/>
              <w:lang w:val="en-GB" w:eastAsia="en-GB"/>
            </w:rPr>
          </w:pPr>
          <w:hyperlink w:anchor="_Toc211698283" w:history="1">
            <w:r w:rsidR="00C45200" w:rsidRPr="00920144">
              <w:rPr>
                <w:rStyle w:val="Hyperlink"/>
                <w:rFonts w:ascii="Bookman Old Style" w:hAnsi="Bookman Old Style"/>
                <w:noProof/>
              </w:rPr>
              <w:t>KM-07-KT03: Facilitation of work-based learning (30%)</w:t>
            </w:r>
            <w:r w:rsidR="00C45200">
              <w:rPr>
                <w:noProof/>
                <w:webHidden/>
              </w:rPr>
              <w:tab/>
            </w:r>
            <w:r w:rsidR="00C45200">
              <w:rPr>
                <w:noProof/>
                <w:webHidden/>
              </w:rPr>
              <w:fldChar w:fldCharType="begin"/>
            </w:r>
            <w:r w:rsidR="00C45200">
              <w:rPr>
                <w:noProof/>
                <w:webHidden/>
              </w:rPr>
              <w:instrText xml:space="preserve"> PAGEREF _Toc211698283 \h </w:instrText>
            </w:r>
            <w:r w:rsidR="00C45200">
              <w:rPr>
                <w:noProof/>
                <w:webHidden/>
              </w:rPr>
            </w:r>
            <w:r w:rsidR="00C45200">
              <w:rPr>
                <w:noProof/>
                <w:webHidden/>
              </w:rPr>
              <w:fldChar w:fldCharType="separate"/>
            </w:r>
            <w:r w:rsidR="00C45200">
              <w:rPr>
                <w:noProof/>
                <w:webHidden/>
              </w:rPr>
              <w:t>13</w:t>
            </w:r>
            <w:r w:rsidR="00C45200">
              <w:rPr>
                <w:noProof/>
                <w:webHidden/>
              </w:rPr>
              <w:fldChar w:fldCharType="end"/>
            </w:r>
          </w:hyperlink>
        </w:p>
        <w:p w14:paraId="7DF9AC81" w14:textId="492F67D8" w:rsidR="00C45200" w:rsidRDefault="00873D26">
          <w:pPr>
            <w:pStyle w:val="TOC1"/>
            <w:rPr>
              <w:rFonts w:asciiTheme="minorHAnsi" w:eastAsiaTheme="minorEastAsia" w:hAnsiTheme="minorHAnsi" w:cstheme="minorBidi"/>
              <w:noProof/>
              <w:szCs w:val="22"/>
              <w:lang w:val="en-GB" w:eastAsia="en-GB"/>
            </w:rPr>
          </w:pPr>
          <w:hyperlink w:anchor="_Toc211698284" w:history="1">
            <w:r w:rsidR="00C45200" w:rsidRPr="00920144">
              <w:rPr>
                <w:rStyle w:val="Hyperlink"/>
                <w:rFonts w:ascii="Bookman Old Style" w:hAnsi="Bookman Old Style"/>
                <w:noProof/>
              </w:rPr>
              <w:t>KM-07-KT04: Evaluation of learner progression (20%)</w:t>
            </w:r>
            <w:r w:rsidR="00C45200">
              <w:rPr>
                <w:noProof/>
                <w:webHidden/>
              </w:rPr>
              <w:tab/>
            </w:r>
            <w:r w:rsidR="00C45200">
              <w:rPr>
                <w:noProof/>
                <w:webHidden/>
              </w:rPr>
              <w:fldChar w:fldCharType="begin"/>
            </w:r>
            <w:r w:rsidR="00C45200">
              <w:rPr>
                <w:noProof/>
                <w:webHidden/>
              </w:rPr>
              <w:instrText xml:space="preserve"> PAGEREF _Toc211698284 \h </w:instrText>
            </w:r>
            <w:r w:rsidR="00C45200">
              <w:rPr>
                <w:noProof/>
                <w:webHidden/>
              </w:rPr>
            </w:r>
            <w:r w:rsidR="00C45200">
              <w:rPr>
                <w:noProof/>
                <w:webHidden/>
              </w:rPr>
              <w:fldChar w:fldCharType="separate"/>
            </w:r>
            <w:r w:rsidR="00C45200">
              <w:rPr>
                <w:noProof/>
                <w:webHidden/>
              </w:rPr>
              <w:t>14</w:t>
            </w:r>
            <w:r w:rsidR="00C45200">
              <w:rPr>
                <w:noProof/>
                <w:webHidden/>
              </w:rPr>
              <w:fldChar w:fldCharType="end"/>
            </w:r>
          </w:hyperlink>
        </w:p>
        <w:p w14:paraId="6E5BC560" w14:textId="5B75B87E" w:rsidR="00C45200" w:rsidRDefault="00873D26">
          <w:pPr>
            <w:pStyle w:val="TOC1"/>
            <w:rPr>
              <w:rFonts w:asciiTheme="minorHAnsi" w:eastAsiaTheme="minorEastAsia" w:hAnsiTheme="minorHAnsi" w:cstheme="minorBidi"/>
              <w:noProof/>
              <w:szCs w:val="22"/>
              <w:lang w:val="en-GB" w:eastAsia="en-GB"/>
            </w:rPr>
          </w:pPr>
          <w:hyperlink w:anchor="_Toc211698285" w:history="1">
            <w:r w:rsidR="00C45200" w:rsidRPr="00920144">
              <w:rPr>
                <w:rStyle w:val="Hyperlink"/>
                <w:rFonts w:ascii="Bookman Old Style" w:hAnsi="Bookman Old Style"/>
                <w:noProof/>
              </w:rPr>
              <w:t>REFERENCES</w:t>
            </w:r>
            <w:r w:rsidR="00C45200">
              <w:rPr>
                <w:noProof/>
                <w:webHidden/>
              </w:rPr>
              <w:tab/>
            </w:r>
            <w:r w:rsidR="00C45200">
              <w:rPr>
                <w:noProof/>
                <w:webHidden/>
              </w:rPr>
              <w:fldChar w:fldCharType="begin"/>
            </w:r>
            <w:r w:rsidR="00C45200">
              <w:rPr>
                <w:noProof/>
                <w:webHidden/>
              </w:rPr>
              <w:instrText xml:space="preserve"> PAGEREF _Toc211698285 \h </w:instrText>
            </w:r>
            <w:r w:rsidR="00C45200">
              <w:rPr>
                <w:noProof/>
                <w:webHidden/>
              </w:rPr>
            </w:r>
            <w:r w:rsidR="00C45200">
              <w:rPr>
                <w:noProof/>
                <w:webHidden/>
              </w:rPr>
              <w:fldChar w:fldCharType="separate"/>
            </w:r>
            <w:r w:rsidR="00C45200">
              <w:rPr>
                <w:noProof/>
                <w:webHidden/>
              </w:rPr>
              <w:t>15</w:t>
            </w:r>
            <w:r w:rsidR="00C45200">
              <w:rPr>
                <w:noProof/>
                <w:webHidden/>
              </w:rPr>
              <w:fldChar w:fldCharType="end"/>
            </w:r>
          </w:hyperlink>
        </w:p>
        <w:p w14:paraId="161654DB" w14:textId="51AFDF19"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278"/>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 xml:space="preserve">A Work Based Learning and Development Practitioner plans for, </w:t>
      </w:r>
      <w:proofErr w:type="gramStart"/>
      <w:r w:rsidRPr="009656CE">
        <w:rPr>
          <w:rFonts w:ascii="Bookman Old Style" w:hAnsi="Bookman Old Style" w:cs="Segoe UI Light"/>
          <w:sz w:val="24"/>
          <w:lang w:eastAsia="en-ZA"/>
        </w:rPr>
        <w:t>conducts</w:t>
      </w:r>
      <w:proofErr w:type="gramEnd"/>
      <w:r w:rsidRPr="009656CE">
        <w:rPr>
          <w:rFonts w:ascii="Bookman Old Style" w:hAnsi="Bookman Old Style" w:cs="Segoe UI Light"/>
          <w:sz w:val="24"/>
          <w:lang w:eastAsia="en-ZA"/>
        </w:rPr>
        <w:t xml:space="preserve">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279"/>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280"/>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Planning of resources and logistics is conducive for efficient and effective learning. o Preparations for the facilitation of learning is aligned to adult learning principles and techniques. o Barriers to learning are dealt with, in the delivery of the learning intervention. o Past experience and prior learning is recognised during the delivery of the learning intervention. o Guidance and support of learners enables them to define outcomes, clarify issues, manage </w:t>
      </w:r>
      <w:proofErr w:type="gramStart"/>
      <w:r w:rsidRPr="009656CE">
        <w:rPr>
          <w:rFonts w:ascii="Bookman Old Style" w:hAnsi="Bookman Old Style" w:cs="Segoe UI Light"/>
          <w:sz w:val="24"/>
        </w:rPr>
        <w:t>expectations</w:t>
      </w:r>
      <w:proofErr w:type="gramEnd"/>
      <w:r w:rsidRPr="009656CE">
        <w:rPr>
          <w:rFonts w:ascii="Bookman Old Style" w:hAnsi="Bookman Old Style" w:cs="Segoe UI Light"/>
          <w:sz w:val="24"/>
        </w:rPr>
        <w:t xml:space="preserve"> and identify learning paths and opportunities.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facilitation plan and process are adapted to meet contextual and learning dynamics. o Active learning is facilitated according to contexts and learning styles, by drawing on appropriate learning methodologies. o Facilitation is conducted in an organised manner that ensures the physical and psycho-social safety of the learners. o Learner progress and effectiveness of the intervention is measured </w:t>
      </w:r>
      <w:proofErr w:type="gramStart"/>
      <w:r w:rsidRPr="009656CE">
        <w:rPr>
          <w:rFonts w:ascii="Bookman Old Style" w:hAnsi="Bookman Old Style" w:cs="Segoe UI Light"/>
          <w:sz w:val="24"/>
        </w:rPr>
        <w:t>continuously</w:t>
      </w:r>
      <w:proofErr w:type="gramEnd"/>
      <w:r w:rsidRPr="009656CE">
        <w:rPr>
          <w:rFonts w:ascii="Bookman Old Style" w:hAnsi="Bookman Old Style" w:cs="Segoe UI Light"/>
          <w:sz w:val="24"/>
        </w:rPr>
        <w:t xml:space="preserve"> and feedback is provided.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dynamics of the learner group are managed in accordance with contextual requirements. o Stakeholder feedback is reflected upon and is used to inform areas of continuous personal development and improvement. o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565FFB1B" w14:textId="3DADE907" w:rsidR="00170710" w:rsidRPr="005B1D66" w:rsidRDefault="00C45200" w:rsidP="007058DB">
      <w:pPr>
        <w:pStyle w:val="Heading1"/>
        <w:numPr>
          <w:ilvl w:val="0"/>
          <w:numId w:val="0"/>
        </w:numPr>
        <w:spacing w:line="360" w:lineRule="auto"/>
        <w:ind w:left="142"/>
        <w:rPr>
          <w:rFonts w:ascii="Bookman Old Style" w:hAnsi="Bookman Old Style"/>
          <w:sz w:val="24"/>
          <w:szCs w:val="24"/>
        </w:rPr>
      </w:pPr>
      <w:bookmarkStart w:id="11" w:name="_Toc211698281"/>
      <w:r w:rsidRPr="00C45200">
        <w:rPr>
          <w:rFonts w:ascii="Bookman Old Style" w:hAnsi="Bookman Old Style"/>
          <w:sz w:val="24"/>
          <w:szCs w:val="24"/>
        </w:rPr>
        <w:lastRenderedPageBreak/>
        <w:t xml:space="preserve">KM-07-KT01: Delivery models (learnerships, internships, experiential learning, apprenticeships) </w:t>
      </w:r>
      <w:r>
        <w:rPr>
          <w:rFonts w:ascii="Bookman Old Style" w:hAnsi="Bookman Old Style"/>
          <w:sz w:val="24"/>
          <w:szCs w:val="24"/>
        </w:rPr>
        <w:t>(</w:t>
      </w:r>
      <w:r w:rsidRPr="00C45200">
        <w:rPr>
          <w:rFonts w:ascii="Bookman Old Style" w:hAnsi="Bookman Old Style"/>
          <w:sz w:val="24"/>
          <w:szCs w:val="24"/>
        </w:rPr>
        <w:t>30%)</w:t>
      </w:r>
      <w:bookmarkEnd w:id="11"/>
    </w:p>
    <w:p w14:paraId="450074DC" w14:textId="50C1AA87"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u w:val="single"/>
          <w:lang w:val="en-GB"/>
        </w:rPr>
        <w:t>Q1: What are the current national trends influencing work-based learning programs?</w:t>
      </w:r>
      <w:r w:rsidRPr="007058DB">
        <w:rPr>
          <w:rFonts w:ascii="Bookman Old Style" w:hAnsi="Bookman Old Style" w:cs="Segoe UI Light"/>
          <w:sz w:val="24"/>
          <w:lang w:val="en-GB"/>
        </w:rPr>
        <w:br/>
      </w:r>
      <w:r w:rsidRPr="007058DB">
        <w:rPr>
          <w:rFonts w:ascii="Bookman Old Style" w:hAnsi="Bookman Old Style" w:cs="Segoe UI Light"/>
          <w:b/>
          <w:bCs/>
          <w:sz w:val="24"/>
          <w:lang w:val="en-GB"/>
        </w:rPr>
        <w:t>A1:</w:t>
      </w:r>
      <w:r w:rsidRPr="007058DB">
        <w:rPr>
          <w:rFonts w:ascii="Bookman Old Style" w:hAnsi="Bookman Old Style" w:cs="Segoe UI Light"/>
          <w:sz w:val="24"/>
          <w:lang w:val="en-GB"/>
        </w:rPr>
        <w:t xml:space="preserve"> National trends in work-based learning emphasize aligning education with industry demands through partnerships between training institutions and employers. Many countries now promote apprenticeship programs, internships, and learnerships that blend classroom instruction with workplace practice. The rise of digital transformation has also led to increased use of online and blended learning platforms. Governments are encouraging competency-based assessment to validate practical skills. There’s a growing focus on inclusivity, ensuring access for youth, women, and persons with disabilities. Lifelong learning and reskilling initiatives address evolving labour market needs. These trends collectively support employability, productivity, and national economic growth.</w:t>
      </w:r>
    </w:p>
    <w:p w14:paraId="30ACC014"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Q2: How have technology and policy developments shaped national work-based learning approaches?</w:t>
      </w:r>
    </w:p>
    <w:p w14:paraId="3D8FF097" w14:textId="03320314"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lang w:val="en-GB"/>
        </w:rPr>
        <w:t>A2:</w:t>
      </w:r>
      <w:r w:rsidRPr="007058DB">
        <w:rPr>
          <w:rFonts w:ascii="Bookman Old Style" w:hAnsi="Bookman Old Style" w:cs="Segoe UI Light"/>
          <w:sz w:val="24"/>
          <w:lang w:val="en-GB"/>
        </w:rPr>
        <w:t xml:space="preserve"> Technological advancements and supportive policies have significantly reshaped how work-based learning is delivered and managed. E-learning platforms now enable flexible, remote, and real-time training opportunities. Simulations and virtual labs enhance practical experience without compromising safety or cost. National qualification frameworks and skills policies ensure consistency and recognition across industries. Funding incentives encourage companies to host learners and upskill employees. Technology also improves monitoring, evaluation, and reporting processes. Policies increasingly link training outcomes with job placement and career progression. Together, these innovations create an adaptive, accessible, and future-ready work-based learning ecosystem.</w:t>
      </w:r>
    </w:p>
    <w:p w14:paraId="741A5E3E"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Q3: What are the main delivery models used in work-based learning, and how do they differ?</w:t>
      </w:r>
    </w:p>
    <w:p w14:paraId="5224C26B" w14:textId="2C5FD926"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lang w:val="en-GB"/>
        </w:rPr>
        <w:lastRenderedPageBreak/>
        <w:t>A3:</w:t>
      </w:r>
      <w:r w:rsidRPr="007058DB">
        <w:rPr>
          <w:rFonts w:ascii="Bookman Old Style" w:hAnsi="Bookman Old Style" w:cs="Segoe UI Light"/>
          <w:sz w:val="24"/>
          <w:lang w:val="en-GB"/>
        </w:rPr>
        <w:t xml:space="preserve"> Common delivery models include on-the-job training, apprenticeships, internships, mentorship programs, and blended learning. On-the-job training focuses on immediate skill application under supervision, while apprenticeships combine structured classroom sessions with workplace practice. Internships provide exposure and experience, often for new entrants. Mentorship emphasizes personal development through guidance from experienced professionals. Blended models integrate digital tools and face-to-face interactions for flexibility. Each model varies in duration, assessment method, and learner engagement. The choice depends on occupational needs, learner profiles, and industry standards, ensuring the most effective skill transfer and performance outcomes.</w:t>
      </w:r>
    </w:p>
    <w:p w14:paraId="67435B6F" w14:textId="33188CE5"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u w:val="single"/>
          <w:lang w:val="en-GB"/>
        </w:rPr>
        <w:t>Q4: How do delivery models impact learner engagement and workplace performance?</w:t>
      </w:r>
      <w:r w:rsidRPr="007058DB">
        <w:rPr>
          <w:rFonts w:ascii="Bookman Old Style" w:hAnsi="Bookman Old Style" w:cs="Segoe UI Light"/>
          <w:sz w:val="24"/>
          <w:lang w:val="en-GB"/>
        </w:rPr>
        <w:br/>
        <w:t>Delivery models play a crucial role in how effectively learners engage with content and apply their skills at work. Practical, hands-on models enhance motivation by allowing immediate application of theory. Blended learning supports different learning styles, improving participation and retention. Structured programs like apprenticeships build discipline and responsibility through clear milestones. Mentorship-based models provide personalized support, improving confidence and career direction. When delivery aligns with job roles, learners become productive faster. Organizations also benefit from increased efficiency, innovation, and reduced turnover. Therefore, selecting the right model ensures both learner success and workplace improvement.</w:t>
      </w:r>
    </w:p>
    <w:p w14:paraId="1F49C6CA" w14:textId="77777777" w:rsidR="00EA0585" w:rsidRDefault="00EA0585" w:rsidP="005B1D66">
      <w:pPr>
        <w:spacing w:line="360" w:lineRule="auto"/>
        <w:rPr>
          <w:rFonts w:ascii="Bookman Old Style" w:hAnsi="Bookman Old Style" w:cs="Segoe UI Light"/>
          <w:sz w:val="24"/>
          <w:lang w:val="en-GB"/>
        </w:rPr>
      </w:pPr>
    </w:p>
    <w:p w14:paraId="2126A462" w14:textId="3DFDB53E" w:rsidR="00EA0585" w:rsidRDefault="00EA0585" w:rsidP="005B1D66">
      <w:pPr>
        <w:spacing w:line="360" w:lineRule="auto"/>
        <w:rPr>
          <w:rFonts w:ascii="Bookman Old Style" w:hAnsi="Bookman Old Style" w:cs="Segoe UI Light"/>
          <w:sz w:val="24"/>
          <w:lang w:val="en-GB"/>
        </w:rPr>
      </w:pPr>
    </w:p>
    <w:p w14:paraId="491EF060" w14:textId="42F87F72" w:rsidR="009656CE" w:rsidRDefault="009656CE" w:rsidP="005B1D66">
      <w:pPr>
        <w:spacing w:line="360" w:lineRule="auto"/>
        <w:rPr>
          <w:rFonts w:ascii="Bookman Old Style" w:hAnsi="Bookman Old Style" w:cs="Segoe UI Light"/>
          <w:sz w:val="24"/>
          <w:lang w:val="en-GB"/>
        </w:rPr>
      </w:pPr>
    </w:p>
    <w:p w14:paraId="523E19D2" w14:textId="33716C39" w:rsidR="009656CE" w:rsidRDefault="009656CE" w:rsidP="005B1D66">
      <w:pPr>
        <w:spacing w:line="360" w:lineRule="auto"/>
        <w:rPr>
          <w:rFonts w:ascii="Bookman Old Style" w:hAnsi="Bookman Old Style" w:cs="Segoe UI Light"/>
          <w:sz w:val="24"/>
          <w:lang w:val="en-GB"/>
        </w:rPr>
      </w:pPr>
    </w:p>
    <w:p w14:paraId="2151A5DE" w14:textId="54550359" w:rsidR="009656CE" w:rsidRDefault="009656CE" w:rsidP="005B1D66">
      <w:pPr>
        <w:spacing w:line="360" w:lineRule="auto"/>
        <w:rPr>
          <w:rFonts w:ascii="Bookman Old Style" w:hAnsi="Bookman Old Style" w:cs="Segoe UI Light"/>
          <w:sz w:val="24"/>
          <w:lang w:val="en-GB"/>
        </w:rPr>
      </w:pPr>
    </w:p>
    <w:p w14:paraId="5C6E5508" w14:textId="0FC0FCBC" w:rsidR="009656CE" w:rsidRDefault="009656CE" w:rsidP="005B1D66">
      <w:pPr>
        <w:spacing w:line="360" w:lineRule="auto"/>
        <w:rPr>
          <w:rFonts w:ascii="Bookman Old Style" w:hAnsi="Bookman Old Style" w:cs="Segoe UI Light"/>
          <w:sz w:val="24"/>
          <w:lang w:val="en-GB"/>
        </w:rPr>
      </w:pP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1C5BE724" w14:textId="37D296CB" w:rsidR="00170710" w:rsidRPr="009656CE" w:rsidRDefault="00C45200" w:rsidP="005B1D66">
      <w:pPr>
        <w:pStyle w:val="Heading1"/>
        <w:numPr>
          <w:ilvl w:val="0"/>
          <w:numId w:val="0"/>
        </w:numPr>
        <w:spacing w:line="360" w:lineRule="auto"/>
        <w:rPr>
          <w:rFonts w:ascii="Bookman Old Style" w:hAnsi="Bookman Old Style"/>
          <w:bCs/>
          <w:sz w:val="24"/>
          <w:szCs w:val="24"/>
        </w:rPr>
      </w:pPr>
      <w:bookmarkStart w:id="12" w:name="_Toc211698282"/>
      <w:r w:rsidRPr="00C45200">
        <w:rPr>
          <w:rFonts w:ascii="Bookman Old Style" w:hAnsi="Bookman Old Style"/>
          <w:bCs/>
          <w:sz w:val="24"/>
          <w:szCs w:val="24"/>
        </w:rPr>
        <w:lastRenderedPageBreak/>
        <w:t>KM-07-KT02: Planning and scheduling work-based learning (20%)</w:t>
      </w:r>
      <w:bookmarkEnd w:id="12"/>
    </w:p>
    <w:p w14:paraId="11F1373E"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Q1: What types of work-based learning opportunities can be implemented in an occupational environment?</w:t>
      </w:r>
    </w:p>
    <w:p w14:paraId="226D047C" w14:textId="227C345A"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Work-based learning opportunities include apprenticeships, internships, learnerships, job shadowing, coaching, and mentoring. Apprenticeships blend structured classroom learning with practical, on-the-job experience under supervision. Internships expose learners to real workplace processes, helping them gain confidence and industry awareness. Learnerships combine accredited training with employment, often leading to formal qualifications. Job shadowing allows observation of experienced employees to understand job roles. Coaching provides targeted skills development through guided practice. Mentoring supports personal and professional growth through experienced guidance. Together, these opportunities enable learners to gain both technical and interpersonal competencies relevant to their occupations.</w:t>
      </w:r>
    </w:p>
    <w:p w14:paraId="1062B11A" w14:textId="77777777" w:rsid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Q2: How do work-based learning opportunities benefit both the learner and the organization?</w:t>
      </w:r>
    </w:p>
    <w:p w14:paraId="4B51C750" w14:textId="240935D3"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Wok-based learning provides mutual value by aligning individual development with organizational goals. Learners gain hands-on experience, confidence, and industry-recognized skills, enhancing employability. Organizations benefit from a workforce that is trained according to their operational needs. It reduces recruitment costs by developing talent internally. Learners bring fresh ideas and enthusiasm, contributing to innovation and productivity. Supervisors and mentors also improve leadership skills through the guidance process. Work-based learning strengthens teamwork and knowledge sharing within the organization. Ultimately, it creates a sustainable learning culture that supports continuous growth and competitive advantage.</w:t>
      </w:r>
    </w:p>
    <w:p w14:paraId="46237DA8" w14:textId="77777777" w:rsidR="007058DB" w:rsidRDefault="007058DB" w:rsidP="007058DB">
      <w:pPr>
        <w:spacing w:line="360" w:lineRule="auto"/>
        <w:rPr>
          <w:rFonts w:ascii="Bookman Old Style" w:hAnsi="Bookman Old Style" w:cs="Segoe UI Light"/>
          <w:bCs/>
          <w:sz w:val="24"/>
          <w:lang w:val="en-GB"/>
        </w:rPr>
      </w:pPr>
    </w:p>
    <w:p w14:paraId="24E6113D" w14:textId="77777777" w:rsidR="007058DB" w:rsidRDefault="007058DB" w:rsidP="007058DB">
      <w:pPr>
        <w:spacing w:line="360" w:lineRule="auto"/>
        <w:rPr>
          <w:rFonts w:ascii="Bookman Old Style" w:hAnsi="Bookman Old Style" w:cs="Segoe UI Light"/>
          <w:bCs/>
          <w:sz w:val="24"/>
          <w:lang w:val="en-GB"/>
        </w:rPr>
      </w:pPr>
    </w:p>
    <w:p w14:paraId="67343393" w14:textId="5A986EF8"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lastRenderedPageBreak/>
        <w:t>Q3: Why is scheduling important when implementing learning in a production or services environment?</w:t>
      </w:r>
    </w:p>
    <w:p w14:paraId="2F6DB76B" w14:textId="140A38DD"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lang w:val="en-GB"/>
        </w:rPr>
        <w:t>A3:</w:t>
      </w:r>
      <w:r w:rsidRPr="007058DB">
        <w:rPr>
          <w:rFonts w:ascii="Bookman Old Style" w:hAnsi="Bookman Old Style" w:cs="Segoe UI Light"/>
          <w:bCs/>
          <w:sz w:val="24"/>
          <w:lang w:val="en-GB"/>
        </w:rPr>
        <w:t xml:space="preserve"> Scheduling is critical to balance learning activities with the ongoing demands of production or service delivery. Poor scheduling can disrupt workflow, reduce efficiency, and create stress for both learners and supervisors. A well-structured schedule ensures that learning occurs without compromising productivity targets. It allows facilitators to allocate time for theory, practice, and assessment effectively. Scheduling also promotes fairness by giving all learners equal access to learning opportunities. It helps identify peak and off-peak periods for training sessions. Moreover, proper planning aligns learning interventions with project timelines and operational goals. This ensures smooth integration and minimal disruption to business operations.</w:t>
      </w:r>
    </w:p>
    <w:p w14:paraId="2D5A4FF8"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Q4: What are the challenges of scheduling learning in a production-based environment, and how can they be managed?</w:t>
      </w:r>
    </w:p>
    <w:p w14:paraId="1F22473C" w14:textId="7CBAA433"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Scheduling in a production environment often faces challenges such as time constraints, shift work, and fluctuating workloads. Employees may struggle to balance learning with daily performance targets. To manage this, planners should coordinate with production managers to identify suitable time slots. Flexible scheduling—such as rotating learning sessions or short, focused modules—can reduce interference. Using blended learning or digital tools allows learners to study during downtime. Clear communication ensures that both supervisors and learners understand expectations. Prioritizing critical tasks maintains productivity while promoting development. Effective management ensures that learning complements rather than competes with production.</w:t>
      </w:r>
    </w:p>
    <w:p w14:paraId="5E285F0E" w14:textId="4DD391CC" w:rsidR="00C45200" w:rsidRDefault="00C45200" w:rsidP="005B1D66">
      <w:pPr>
        <w:spacing w:line="360" w:lineRule="auto"/>
        <w:rPr>
          <w:rFonts w:ascii="Bookman Old Style" w:hAnsi="Bookman Old Style" w:cs="Segoe UI Light"/>
          <w:bCs/>
          <w:sz w:val="24"/>
          <w:lang w:val="en-GB"/>
        </w:rPr>
      </w:pPr>
    </w:p>
    <w:p w14:paraId="488D26A9" w14:textId="4C42E574" w:rsidR="00C45200" w:rsidRDefault="00C45200" w:rsidP="005B1D66">
      <w:pPr>
        <w:spacing w:line="360" w:lineRule="auto"/>
        <w:rPr>
          <w:rFonts w:ascii="Bookman Old Style" w:hAnsi="Bookman Old Style" w:cs="Segoe UI Light"/>
          <w:bCs/>
          <w:sz w:val="24"/>
          <w:lang w:val="en-GB"/>
        </w:rPr>
      </w:pPr>
    </w:p>
    <w:p w14:paraId="3D69669C" w14:textId="64EAD344" w:rsidR="00C45200" w:rsidRDefault="00C45200" w:rsidP="005B1D66">
      <w:pPr>
        <w:spacing w:line="360" w:lineRule="auto"/>
        <w:rPr>
          <w:rFonts w:ascii="Bookman Old Style" w:hAnsi="Bookman Old Style" w:cs="Segoe UI Light"/>
          <w:bCs/>
          <w:sz w:val="24"/>
          <w:lang w:val="en-GB"/>
        </w:rPr>
      </w:pPr>
    </w:p>
    <w:p w14:paraId="27C4B5E2" w14:textId="77777777" w:rsidR="00C45200" w:rsidRPr="00380609" w:rsidRDefault="00C45200" w:rsidP="005B1D66">
      <w:pPr>
        <w:spacing w:line="360" w:lineRule="auto"/>
        <w:rPr>
          <w:rFonts w:ascii="Bookman Old Style" w:hAnsi="Bookman Old Style" w:cs="Segoe UI Light"/>
          <w:bCs/>
          <w:sz w:val="24"/>
          <w:lang w:val="en-GB"/>
        </w:rPr>
      </w:pPr>
    </w:p>
    <w:p w14:paraId="4EB52F08" w14:textId="781D1A96" w:rsidR="00170710" w:rsidRPr="009656CE" w:rsidRDefault="00C45200" w:rsidP="005B1D66">
      <w:pPr>
        <w:pStyle w:val="Heading1"/>
        <w:numPr>
          <w:ilvl w:val="0"/>
          <w:numId w:val="0"/>
        </w:numPr>
        <w:spacing w:line="360" w:lineRule="auto"/>
        <w:rPr>
          <w:rFonts w:ascii="Bookman Old Style" w:hAnsi="Bookman Old Style"/>
          <w:sz w:val="24"/>
          <w:szCs w:val="24"/>
        </w:rPr>
      </w:pPr>
      <w:bookmarkStart w:id="13" w:name="_Toc211698283"/>
      <w:r w:rsidRPr="00C45200">
        <w:rPr>
          <w:rFonts w:ascii="Bookman Old Style" w:hAnsi="Bookman Old Style"/>
          <w:sz w:val="24"/>
          <w:szCs w:val="24"/>
        </w:rPr>
        <w:lastRenderedPageBreak/>
        <w:t>KM-07-KT03: Facilitation of work-based learning (30%)</w:t>
      </w:r>
      <w:bookmarkEnd w:id="13"/>
    </w:p>
    <w:p w14:paraId="34023DB3" w14:textId="30A85A37"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Q1: What are the fundamental principles of coaching in a work-based learning environment?</w:t>
      </w:r>
      <w:r w:rsidRPr="007058DB">
        <w:rPr>
          <w:rFonts w:ascii="Bookman Old Style" w:hAnsi="Bookman Old Style" w:cs="Segoe UI Light"/>
          <w:bCs/>
          <w:sz w:val="24"/>
          <w:lang w:val="en-GB"/>
        </w:rPr>
        <w:br/>
        <w:t>Coaching in work-based learning is based on principles of guidance, active listening, and empowerment. It focuses on helping learners identify their strengths and areas for development through reflective questioning. The coach encourages ownership of learning by setting clear, achievable goals. Feedback is used constructively to improve performance and build confidence. Trust and confidentiality form the foundation of an effective coaching relationship. The process is learner-cantered, aiming to enhance both technical and interpersonal skills. Regular progress reviews ensure continuous improvement. Ultimately, coaching empowers individuals to reach their full potential in the workplace.</w:t>
      </w:r>
    </w:p>
    <w:p w14:paraId="5863DFED" w14:textId="3E196120"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Q2: How can coaching practices enhance learning outcomes and workplace performance?</w:t>
      </w:r>
      <w:r w:rsidRPr="007058DB">
        <w:rPr>
          <w:rFonts w:ascii="Bookman Old Style" w:hAnsi="Bookman Old Style" w:cs="Segoe UI Light"/>
          <w:bCs/>
          <w:sz w:val="24"/>
          <w:lang w:val="en-GB"/>
        </w:rPr>
        <w:br/>
        <w:t>Effective coaching accelerates learning by linking theoretical knowledge directly to workplace application. Coaches provide real-time feedback, allowing learners to adjust their performance immediately. This hands-on guidance improves skill mastery and job competence. Coaching also boosts motivation by recognizing progress and celebrating achievements. It cultivates self-awareness, encouraging learners to take responsibility for their growth. Structured coaching sessions help clarify job expectations and performance standards. Over time, this results in higher productivity, improved problem-solving, and better teamwork. Thus, coaching strengthens both individual capability and organizational performance outcomes.</w:t>
      </w:r>
    </w:p>
    <w:p w14:paraId="1A08136A"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Q3: What are the key principles that guide mentorship in work-based learning?</w:t>
      </w:r>
    </w:p>
    <w:p w14:paraId="30BF7945" w14:textId="57B6C749"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 xml:space="preserve">Mentorship is guided by principles of trust, respect, support, and knowledge sharing. A mentor serves as both a role model and advisor, helping the mentee navigate professional challenges. The relationship is long-term, focusing on </w:t>
      </w:r>
      <w:r w:rsidRPr="007058DB">
        <w:rPr>
          <w:rFonts w:ascii="Bookman Old Style" w:hAnsi="Bookman Old Style" w:cs="Segoe UI Light"/>
          <w:bCs/>
          <w:sz w:val="24"/>
          <w:lang w:val="en-GB"/>
        </w:rPr>
        <w:lastRenderedPageBreak/>
        <w:t>personal development and career progression rather than short-term skills. Open communication and active listening create a safe learning space. Mutual respect ensures the relationship remains professional and constructive. Mentorship emphasizes experiential learning, where mentors share insights gained through real-world experience. Regular reflection helps mentees internalize lessons learned. These principles foster growth, confidence, and lifelong learning habits.</w:t>
      </w:r>
    </w:p>
    <w:p w14:paraId="730CB578" w14:textId="77777777" w:rsid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Q4: How can mentorship programs be applied effectively in a work-based learning setting?</w:t>
      </w:r>
    </w:p>
    <w:p w14:paraId="3C9C1113" w14:textId="0D2F84F7"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Mentorship programs can be implemented by pairing experienced employees with new or developing staff. Structured plans outlining objectives, timelines, and expected outcomes help guide the process. Mentors provide orientation, performance advice, and emotional support during workplace integration. Scheduled discussions allow mentees to reflect and set new goals. Organizations can formalize mentorship through training mentors in communication and leadership skills. Monitoring and evaluation ensure that mentorship meets both learner and business goals. When applied effectively, mentorship enhances retention, succession planning, and workplace culture. It ultimately builds a supportive and knowledge-rich environment.</w:t>
      </w:r>
    </w:p>
    <w:p w14:paraId="45AFE27D" w14:textId="43BE3FB4" w:rsidR="009656CE" w:rsidRDefault="009656CE" w:rsidP="005B1D66">
      <w:pPr>
        <w:spacing w:line="360" w:lineRule="auto"/>
        <w:rPr>
          <w:rFonts w:ascii="Bookman Old Style" w:hAnsi="Bookman Old Style" w:cs="Segoe UI Light"/>
          <w:b/>
          <w:sz w:val="24"/>
          <w:lang w:val="en-GB"/>
        </w:rPr>
      </w:pPr>
    </w:p>
    <w:p w14:paraId="749EC776" w14:textId="08D5F164" w:rsidR="009656CE" w:rsidRDefault="009656CE" w:rsidP="005B1D66">
      <w:pPr>
        <w:spacing w:line="360" w:lineRule="auto"/>
        <w:rPr>
          <w:rFonts w:ascii="Bookman Old Style" w:hAnsi="Bookman Old Style" w:cs="Segoe UI Light"/>
          <w:b/>
          <w:sz w:val="24"/>
          <w:lang w:val="en-GB"/>
        </w:rPr>
      </w:pPr>
    </w:p>
    <w:p w14:paraId="129A50BD" w14:textId="65C6B18F" w:rsidR="009656CE" w:rsidRDefault="009656CE" w:rsidP="005B1D66">
      <w:pPr>
        <w:spacing w:line="360" w:lineRule="auto"/>
        <w:rPr>
          <w:rFonts w:ascii="Bookman Old Style" w:hAnsi="Bookman Old Style" w:cs="Segoe UI Light"/>
          <w:b/>
          <w:sz w:val="24"/>
          <w:lang w:val="en-GB"/>
        </w:rPr>
      </w:pPr>
    </w:p>
    <w:p w14:paraId="12969D09" w14:textId="600B5A0F" w:rsidR="009656CE" w:rsidRDefault="009656CE" w:rsidP="005B1D66">
      <w:pPr>
        <w:spacing w:line="360" w:lineRule="auto"/>
        <w:rPr>
          <w:rFonts w:ascii="Bookman Old Style" w:hAnsi="Bookman Old Style" w:cs="Segoe UI Light"/>
          <w:b/>
          <w:sz w:val="24"/>
          <w:lang w:val="en-GB"/>
        </w:rPr>
      </w:pPr>
    </w:p>
    <w:p w14:paraId="2E8AEBE2" w14:textId="22880F4D" w:rsidR="00C45200" w:rsidRDefault="00C45200" w:rsidP="005B1D66">
      <w:pPr>
        <w:spacing w:line="360" w:lineRule="auto"/>
        <w:rPr>
          <w:rFonts w:ascii="Bookman Old Style" w:hAnsi="Bookman Old Style" w:cs="Segoe UI Light"/>
          <w:b/>
          <w:sz w:val="24"/>
          <w:lang w:val="en-GB"/>
        </w:rPr>
      </w:pPr>
    </w:p>
    <w:p w14:paraId="58BFBA6A" w14:textId="4E5F4C40" w:rsidR="00C45200" w:rsidRDefault="00C45200" w:rsidP="005B1D66">
      <w:pPr>
        <w:spacing w:line="360" w:lineRule="auto"/>
        <w:rPr>
          <w:rFonts w:ascii="Bookman Old Style" w:hAnsi="Bookman Old Style" w:cs="Segoe UI Light"/>
          <w:b/>
          <w:sz w:val="24"/>
          <w:lang w:val="en-GB"/>
        </w:rPr>
      </w:pPr>
    </w:p>
    <w:p w14:paraId="38FD01A0" w14:textId="5D3430D0" w:rsidR="00C45200" w:rsidRDefault="00C45200" w:rsidP="005B1D66">
      <w:pPr>
        <w:spacing w:line="360" w:lineRule="auto"/>
        <w:rPr>
          <w:rFonts w:ascii="Bookman Old Style" w:hAnsi="Bookman Old Style" w:cs="Segoe UI Light"/>
          <w:b/>
          <w:sz w:val="24"/>
          <w:lang w:val="en-GB"/>
        </w:rPr>
      </w:pPr>
    </w:p>
    <w:p w14:paraId="364185A9" w14:textId="1ED0132F" w:rsidR="00C45200" w:rsidRDefault="00C45200" w:rsidP="005B1D66">
      <w:pPr>
        <w:spacing w:line="360" w:lineRule="auto"/>
        <w:rPr>
          <w:rFonts w:ascii="Bookman Old Style" w:hAnsi="Bookman Old Style" w:cs="Segoe UI Light"/>
          <w:b/>
          <w:sz w:val="24"/>
          <w:lang w:val="en-GB"/>
        </w:rPr>
      </w:pPr>
    </w:p>
    <w:p w14:paraId="2F7CABD8" w14:textId="5CD95908" w:rsidR="007058DB" w:rsidRDefault="007058DB" w:rsidP="005B1D66">
      <w:pPr>
        <w:spacing w:line="360" w:lineRule="auto"/>
        <w:rPr>
          <w:rFonts w:ascii="Bookman Old Style" w:hAnsi="Bookman Old Style" w:cs="Segoe UI Light"/>
          <w:b/>
          <w:sz w:val="24"/>
          <w:lang w:val="en-GB"/>
        </w:rPr>
      </w:pPr>
    </w:p>
    <w:p w14:paraId="19396066" w14:textId="4933F063" w:rsidR="007058DB" w:rsidRDefault="007058DB" w:rsidP="005B1D66">
      <w:pPr>
        <w:spacing w:line="360" w:lineRule="auto"/>
        <w:rPr>
          <w:rFonts w:ascii="Bookman Old Style" w:hAnsi="Bookman Old Style" w:cs="Segoe UI Light"/>
          <w:b/>
          <w:sz w:val="24"/>
          <w:lang w:val="en-GB"/>
        </w:rPr>
      </w:pPr>
    </w:p>
    <w:p w14:paraId="6899DCCE" w14:textId="71B8B8AE" w:rsidR="007058DB" w:rsidRDefault="007058DB" w:rsidP="005B1D66">
      <w:pPr>
        <w:spacing w:line="360" w:lineRule="auto"/>
        <w:rPr>
          <w:rFonts w:ascii="Bookman Old Style" w:hAnsi="Bookman Old Style" w:cs="Segoe UI Light"/>
          <w:b/>
          <w:sz w:val="24"/>
          <w:lang w:val="en-GB"/>
        </w:rPr>
      </w:pPr>
    </w:p>
    <w:p w14:paraId="5691CFFD" w14:textId="32E50297" w:rsidR="007058DB" w:rsidRDefault="007058DB" w:rsidP="005B1D66">
      <w:pPr>
        <w:spacing w:line="360" w:lineRule="auto"/>
        <w:rPr>
          <w:rFonts w:ascii="Bookman Old Style" w:hAnsi="Bookman Old Style" w:cs="Segoe UI Light"/>
          <w:b/>
          <w:sz w:val="24"/>
          <w:lang w:val="en-GB"/>
        </w:rPr>
      </w:pPr>
    </w:p>
    <w:p w14:paraId="16A120FE" w14:textId="3E7B6459" w:rsidR="007058DB" w:rsidRDefault="007058DB" w:rsidP="005B1D66">
      <w:pPr>
        <w:spacing w:line="360" w:lineRule="auto"/>
        <w:rPr>
          <w:rFonts w:ascii="Bookman Old Style" w:hAnsi="Bookman Old Style" w:cs="Segoe UI Light"/>
          <w:b/>
          <w:sz w:val="24"/>
          <w:lang w:val="en-GB"/>
        </w:rPr>
      </w:pPr>
    </w:p>
    <w:p w14:paraId="1EC58D64" w14:textId="1BCDEDC0" w:rsidR="007058DB" w:rsidRDefault="007058DB" w:rsidP="005B1D66">
      <w:pPr>
        <w:spacing w:line="360" w:lineRule="auto"/>
        <w:rPr>
          <w:rFonts w:ascii="Bookman Old Style" w:hAnsi="Bookman Old Style" w:cs="Segoe UI Light"/>
          <w:b/>
          <w:sz w:val="24"/>
          <w:lang w:val="en-GB"/>
        </w:rPr>
      </w:pPr>
    </w:p>
    <w:p w14:paraId="4626AFF9" w14:textId="5539B966" w:rsidR="007058DB" w:rsidRDefault="007058DB" w:rsidP="005B1D66">
      <w:pPr>
        <w:spacing w:line="360" w:lineRule="auto"/>
        <w:rPr>
          <w:rFonts w:ascii="Bookman Old Style" w:hAnsi="Bookman Old Style" w:cs="Segoe UI Light"/>
          <w:b/>
          <w:sz w:val="24"/>
          <w:lang w:val="en-GB"/>
        </w:rPr>
      </w:pPr>
    </w:p>
    <w:p w14:paraId="228A6502" w14:textId="3251C73B" w:rsidR="007058DB" w:rsidRDefault="007058DB" w:rsidP="005B1D66">
      <w:pPr>
        <w:spacing w:line="360" w:lineRule="auto"/>
        <w:rPr>
          <w:rFonts w:ascii="Bookman Old Style" w:hAnsi="Bookman Old Style" w:cs="Segoe UI Light"/>
          <w:b/>
          <w:sz w:val="24"/>
          <w:lang w:val="en-GB"/>
        </w:rPr>
      </w:pPr>
    </w:p>
    <w:p w14:paraId="0655038B" w14:textId="77777777" w:rsidR="007058DB" w:rsidRDefault="007058DB" w:rsidP="005B1D66">
      <w:pPr>
        <w:spacing w:line="360" w:lineRule="auto"/>
        <w:rPr>
          <w:rFonts w:ascii="Bookman Old Style" w:hAnsi="Bookman Old Style" w:cs="Segoe UI Light"/>
          <w:b/>
          <w:sz w:val="24"/>
          <w:lang w:val="en-GB"/>
        </w:rPr>
      </w:pPr>
    </w:p>
    <w:p w14:paraId="68B827DC" w14:textId="7BDE000E" w:rsidR="00C45200" w:rsidRDefault="00C45200" w:rsidP="005B1D66">
      <w:pPr>
        <w:spacing w:line="360" w:lineRule="auto"/>
        <w:rPr>
          <w:rFonts w:ascii="Bookman Old Style" w:hAnsi="Bookman Old Style" w:cs="Segoe UI Light"/>
          <w:b/>
          <w:sz w:val="24"/>
          <w:lang w:val="en-GB"/>
        </w:rPr>
      </w:pPr>
    </w:p>
    <w:p w14:paraId="0EB510D3" w14:textId="00D52CBF" w:rsidR="00C45200" w:rsidRPr="00C45200" w:rsidRDefault="00C45200" w:rsidP="00C45200">
      <w:pPr>
        <w:pStyle w:val="Heading1"/>
        <w:numPr>
          <w:ilvl w:val="0"/>
          <w:numId w:val="0"/>
        </w:numPr>
        <w:spacing w:line="360" w:lineRule="auto"/>
        <w:rPr>
          <w:rFonts w:ascii="Bookman Old Style" w:hAnsi="Bookman Old Style"/>
          <w:sz w:val="24"/>
          <w:szCs w:val="24"/>
        </w:rPr>
      </w:pPr>
      <w:bookmarkStart w:id="14" w:name="_Toc211698284"/>
      <w:r w:rsidRPr="00C45200">
        <w:rPr>
          <w:rFonts w:ascii="Bookman Old Style" w:hAnsi="Bookman Old Style"/>
          <w:sz w:val="24"/>
          <w:szCs w:val="24"/>
        </w:rPr>
        <w:t>KM-07-KT04: Evaluation of learner progression (20%)</w:t>
      </w:r>
      <w:bookmarkEnd w:id="14"/>
    </w:p>
    <w:p w14:paraId="2E5F12E2"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Q1: What is the importance of establishing clear evaluation tasks in a work-based learning program?</w:t>
      </w:r>
    </w:p>
    <w:p w14:paraId="36D43456" w14:textId="17D05524"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Establishing clear evaluation tasks ensures that learner performance is measured consistently and fairly. Evaluation tasks help determine whether learning outcomes and workplace competencies have been achieved. They provide a structured framework for assessing both theoretical knowledge and practical skills. Clear tasks align with occupational standards and job requirements, ensuring relevance. Well-defined evaluations also guide learners in understanding what is expected of them. They support facilitators in maintaining objectivity and consistency during assessments. Additionally, evaluation tasks serve as evidence of competence for certification and reporting purposes. Ultimately, they promote accountability and quality assurance in learning.</w:t>
      </w:r>
    </w:p>
    <w:p w14:paraId="6638E7E3"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Q2: What factors should be considered when designing evaluation tasks for workplace learning?</w:t>
      </w:r>
    </w:p>
    <w:p w14:paraId="05E894B9" w14:textId="1F53A04A"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 xml:space="preserve">When designing evaluation tasks, it’s important to ensure they are realistic, measurable, and aligned with learning outcomes. Tasks should reflect actual workplace scenarios to assess practical competence effectively. The complexity of the task must suit the learner’s experience and qualification level. Fairness and accessibility are </w:t>
      </w:r>
      <w:proofErr w:type="gramStart"/>
      <w:r w:rsidRPr="007058DB">
        <w:rPr>
          <w:rFonts w:ascii="Bookman Old Style" w:hAnsi="Bookman Old Style" w:cs="Segoe UI Light"/>
          <w:bCs/>
          <w:sz w:val="24"/>
          <w:lang w:val="en-GB"/>
        </w:rPr>
        <w:t>critical—tasks</w:t>
      </w:r>
      <w:proofErr w:type="gramEnd"/>
      <w:r w:rsidRPr="007058DB">
        <w:rPr>
          <w:rFonts w:ascii="Bookman Old Style" w:hAnsi="Bookman Old Style" w:cs="Segoe UI Light"/>
          <w:bCs/>
          <w:sz w:val="24"/>
          <w:lang w:val="en-GB"/>
        </w:rPr>
        <w:t xml:space="preserve"> should not disadvantage any learner. Criteria for success should be clearly communicated beforehand. Including a mix of </w:t>
      </w:r>
      <w:r w:rsidRPr="007058DB">
        <w:rPr>
          <w:rFonts w:ascii="Bookman Old Style" w:hAnsi="Bookman Old Style" w:cs="Segoe UI Light"/>
          <w:bCs/>
          <w:sz w:val="24"/>
          <w:lang w:val="en-GB"/>
        </w:rPr>
        <w:lastRenderedPageBreak/>
        <w:t>observation, written, and oral assessments caters to different learning styles. Tasks should also comply with regulatory or accreditation requirements. Overall, good design ensures validity, reliability, and transparency in the evaluation process.</w:t>
      </w:r>
    </w:p>
    <w:p w14:paraId="2C718537" w14:textId="77777777" w:rsidR="007058DB" w:rsidRDefault="007058DB" w:rsidP="007058DB">
      <w:pPr>
        <w:spacing w:line="360" w:lineRule="auto"/>
        <w:rPr>
          <w:rFonts w:ascii="Bookman Old Style" w:hAnsi="Bookman Old Style" w:cs="Segoe UI Light"/>
          <w:bCs/>
          <w:sz w:val="24"/>
          <w:lang w:val="en-GB"/>
        </w:rPr>
      </w:pPr>
    </w:p>
    <w:p w14:paraId="54E921AF" w14:textId="0EBE0FD1"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Q3: What are evaluation criteria, and why are they essential in work-based learning assessments?</w:t>
      </w:r>
    </w:p>
    <w:p w14:paraId="51B0178E" w14:textId="163A4802"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Evaluation criteria are specific benchmarks used to measure learner performance against desired outcomes. They define what constitutes competent performance and ensure consistent judgment across assessments. Criteria make the evaluation process transparent for learners, enabling them to focus on key performance areas. They provide a common standard for assessors, reducing subjectivity and bias. Clear criteria also support feedback by identifying strengths and areas for improvement. They ensure alignment with national or industry qualification standards. Well-defined criteria contribute to the credibility and fairness of the learning program. Ultimately, they uphold the integrity and reliability of work-based assessments.</w:t>
      </w:r>
    </w:p>
    <w:p w14:paraId="210BC3CE"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Q4: How can evaluation standards be applied to maintain fairness and consistency in assessments?</w:t>
      </w:r>
    </w:p>
    <w:p w14:paraId="6B8473F5" w14:textId="74D81788"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Applying consistent standards ensures that all learners are judged equally, regardless of assessor or workplace setting. Standardization begins with aligning assessments to recognized occupational or national qualifications frameworks. Assessors must be trained to interpret and apply standards uniformly. Using moderation and verification processes helps confirm consistency across multiple assessors. Documenting assessment guidelines and examples of evidence supports fairness. Periodic reviews of standards ensure they remain current with industry changes. Feedback from assessors and learners can refine application practices. Ultimately, maintaining evaluation standards protects the validity and credibility of the entire work-based learning process.</w:t>
      </w:r>
    </w:p>
    <w:p w14:paraId="4F10958C"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Q5: What types of evidence are required to demonstrate competence in a work-based learning intervention?</w:t>
      </w:r>
    </w:p>
    <w:p w14:paraId="26234AB0" w14:textId="3AEA717D"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lastRenderedPageBreak/>
        <w:t>Evidence of competence can include direct observation, work samples, performance records, reflective journals, and supervisor reports. Direct observation captures real-time performance during job tasks. Work samples—such as completed projects or service records—demonstrate technical skills. Reflective journals show understanding and personal growth through self-assessment. Test results and written assignments provide proof of theoretical knowledge. Third-party reports from mentors or clients confirm consistent performance over time. Portfolios compile these various forms of evidence for validation. Using multiple evidence types ensures a balanced and comprehensive evaluation of the learner’s occupational competence.</w:t>
      </w:r>
    </w:p>
    <w:p w14:paraId="251E5324"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Q6: How can the authenticity and reliability of work-based learning evidence be ensured?</w:t>
      </w:r>
    </w:p>
    <w:p w14:paraId="32F517E2" w14:textId="1BE46C60" w:rsidR="007058DB" w:rsidRPr="007058DB" w:rsidRDefault="007058DB" w:rsidP="007058DB">
      <w:pPr>
        <w:spacing w:line="360" w:lineRule="auto"/>
        <w:rPr>
          <w:rFonts w:ascii="Bookman Old Style" w:hAnsi="Bookman Old Style" w:cs="Segoe UI Light"/>
          <w:b/>
          <w:bCs/>
          <w:sz w:val="24"/>
          <w:lang w:val="en-GB"/>
        </w:rPr>
      </w:pPr>
      <w:r w:rsidRPr="007058DB">
        <w:rPr>
          <w:rFonts w:ascii="Bookman Old Style" w:hAnsi="Bookman Old Style" w:cs="Segoe UI Light"/>
          <w:bCs/>
          <w:sz w:val="24"/>
          <w:lang w:val="en-GB"/>
        </w:rPr>
        <w:t>Authentic and reliable evidence must clearly demonstrate that the learner personally completed the work under real or simulated conditions. Verification by supervisors or assessors confirms authenticity. Using photos, videos, or timestamps adds credibility. Evidence should be recent and directly linked to specific learning outcomes. Consistency across different evidence sources enhances reliability. Assessors must cross-check documents against performance observations and reports. Maintaining records of evaluation processes ensures transparency. Ultimately, authenticity safeguards the integrity of assessments, ensuring qualifications reflect genuine competence and not assumed or collaborative effort.</w:t>
      </w:r>
    </w:p>
    <w:p w14:paraId="18CC0BD9" w14:textId="77777777" w:rsid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 xml:space="preserve">Q7: What </w:t>
      </w:r>
      <w:proofErr w:type="gramStart"/>
      <w:r w:rsidRPr="007058DB">
        <w:rPr>
          <w:rFonts w:ascii="Bookman Old Style" w:hAnsi="Bookman Old Style" w:cs="Segoe UI Light"/>
          <w:b/>
          <w:bCs/>
          <w:sz w:val="24"/>
          <w:u w:val="single"/>
          <w:lang w:val="en-GB"/>
        </w:rPr>
        <w:t>are</w:t>
      </w:r>
      <w:proofErr w:type="gramEnd"/>
      <w:r w:rsidRPr="007058DB">
        <w:rPr>
          <w:rFonts w:ascii="Bookman Old Style" w:hAnsi="Bookman Old Style" w:cs="Segoe UI Light"/>
          <w:b/>
          <w:bCs/>
          <w:sz w:val="24"/>
          <w:u w:val="single"/>
          <w:lang w:val="en-GB"/>
        </w:rPr>
        <w:t xml:space="preserve"> the key documentation and reporting requirements in a work-based learning environment</w:t>
      </w:r>
      <w:r w:rsidRPr="007058DB">
        <w:rPr>
          <w:rFonts w:ascii="Bookman Old Style" w:hAnsi="Bookman Old Style" w:cs="Segoe UI Light"/>
          <w:bCs/>
          <w:sz w:val="24"/>
          <w:lang w:val="en-GB"/>
        </w:rPr>
        <w:t>?</w:t>
      </w:r>
    </w:p>
    <w:p w14:paraId="602EF404" w14:textId="373C2108"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 xml:space="preserve">Documentation and reporting ensure that all learning, assessment, and evaluation activities are properly recorded and verifiable. Essential documents include learning plans, attendance registers, assessment tools, evaluation results, and feedback forms. Reports must be clear, factual, and aligned with organizational and accreditation standards. Confidentiality must be maintained, especially regarding learner performance records. Proper documentation supports </w:t>
      </w:r>
      <w:r w:rsidRPr="007058DB">
        <w:rPr>
          <w:rFonts w:ascii="Bookman Old Style" w:hAnsi="Bookman Old Style" w:cs="Segoe UI Light"/>
          <w:bCs/>
          <w:sz w:val="24"/>
          <w:lang w:val="en-GB"/>
        </w:rPr>
        <w:lastRenderedPageBreak/>
        <w:t>moderation, audits, and quality assurance reviews. Reporting should summarize outcomes, identify improvement areas, and confirm compliance with standards. Consistent formats and templates promote professionalism and efficiency. Comprehensive records safeguard accountability and enable traceability throughout the learning process.</w:t>
      </w:r>
    </w:p>
    <w:p w14:paraId="04542DD9" w14:textId="2A6FB01D" w:rsidR="007058DB" w:rsidRPr="007058DB" w:rsidRDefault="007058DB" w:rsidP="007058DB">
      <w:pPr>
        <w:spacing w:line="360" w:lineRule="auto"/>
        <w:rPr>
          <w:rFonts w:ascii="Bookman Old Style" w:hAnsi="Bookman Old Style" w:cs="Segoe UI Light"/>
          <w:bCs/>
          <w:sz w:val="24"/>
          <w:lang w:val="en-GB"/>
        </w:rPr>
      </w:pPr>
    </w:p>
    <w:p w14:paraId="75E78B47"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Q8: How should learner progression be evaluated and documented in a work-based learning intervention?</w:t>
      </w:r>
    </w:p>
    <w:p w14:paraId="51CCB6D9" w14:textId="4ED7088C"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Learner progression is evaluated through continuous assessment, observation, and evidence collection over time. Progress tracking begins with a baseline assessment to establish initial competence. Regular performance reviews and feedback sessions monitor development. Evaluation must align with defined standards and learning outcomes. Evidence such as work logs, portfolios, and assessment results document each stage of progress. Mentors and facilitators play a vital role in recording and validating this growth. Reports should highlight improvements, strengths, and areas needing support. Thorough documentation of learner progression ensures transparency, credibility, and effective decision-making for certification or advancement.</w:t>
      </w:r>
    </w:p>
    <w:p w14:paraId="573449D2" w14:textId="0C00DCD3" w:rsidR="00C45200" w:rsidRPr="007058DB" w:rsidRDefault="00C45200" w:rsidP="005B1D66">
      <w:pPr>
        <w:spacing w:line="360" w:lineRule="auto"/>
        <w:rPr>
          <w:rFonts w:ascii="Bookman Old Style" w:hAnsi="Bookman Old Style" w:cs="Segoe UI Light"/>
          <w:bCs/>
          <w:sz w:val="24"/>
          <w:lang w:val="en-GB"/>
        </w:rPr>
      </w:pPr>
    </w:p>
    <w:p w14:paraId="182454D6" w14:textId="44D74279" w:rsidR="00C45200" w:rsidRDefault="00C45200" w:rsidP="005B1D66">
      <w:pPr>
        <w:spacing w:line="360" w:lineRule="auto"/>
        <w:rPr>
          <w:rFonts w:ascii="Bookman Old Style" w:hAnsi="Bookman Old Style" w:cs="Segoe UI Light"/>
          <w:b/>
          <w:sz w:val="24"/>
          <w:lang w:val="en-GB"/>
        </w:rPr>
      </w:pPr>
    </w:p>
    <w:p w14:paraId="111E06A8" w14:textId="47F227AF" w:rsidR="00C45200" w:rsidRDefault="00C45200" w:rsidP="005B1D66">
      <w:pPr>
        <w:spacing w:line="360" w:lineRule="auto"/>
        <w:rPr>
          <w:rFonts w:ascii="Bookman Old Style" w:hAnsi="Bookman Old Style" w:cs="Segoe UI Light"/>
          <w:b/>
          <w:sz w:val="24"/>
          <w:lang w:val="en-GB"/>
        </w:rPr>
      </w:pPr>
    </w:p>
    <w:p w14:paraId="2FE93772" w14:textId="2100E636" w:rsidR="00C45200" w:rsidRDefault="00C45200" w:rsidP="005B1D66">
      <w:pPr>
        <w:spacing w:line="360" w:lineRule="auto"/>
        <w:rPr>
          <w:rFonts w:ascii="Bookman Old Style" w:hAnsi="Bookman Old Style" w:cs="Segoe UI Light"/>
          <w:b/>
          <w:sz w:val="24"/>
          <w:lang w:val="en-GB"/>
        </w:rPr>
      </w:pPr>
    </w:p>
    <w:p w14:paraId="3A8C5845" w14:textId="77777777" w:rsidR="00C45200" w:rsidRDefault="00C45200" w:rsidP="005B1D66">
      <w:pPr>
        <w:spacing w:line="360" w:lineRule="auto"/>
        <w:rPr>
          <w:rFonts w:ascii="Bookman Old Style" w:hAnsi="Bookman Old Style" w:cs="Segoe UI Light"/>
          <w:b/>
          <w:sz w:val="24"/>
          <w:lang w:val="en-GB"/>
        </w:rPr>
      </w:pPr>
    </w:p>
    <w:p w14:paraId="2A7D985A" w14:textId="5E89A5EC"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p>
    <w:p w14:paraId="6D0773CB" w14:textId="4B6B3855" w:rsidR="009656CE" w:rsidRDefault="009656CE" w:rsidP="005B1D66">
      <w:pPr>
        <w:spacing w:line="360" w:lineRule="auto"/>
        <w:rPr>
          <w:rFonts w:ascii="Bookman Old Style" w:hAnsi="Bookman Old Style" w:cs="Segoe UI Light"/>
          <w:b/>
          <w:sz w:val="24"/>
          <w:lang w:val="en-GB"/>
        </w:rPr>
      </w:pPr>
    </w:p>
    <w:p w14:paraId="6B5CE08E" w14:textId="651F92F5" w:rsidR="00C45200" w:rsidRDefault="00C45200" w:rsidP="005B1D66">
      <w:pPr>
        <w:spacing w:line="360" w:lineRule="auto"/>
        <w:rPr>
          <w:rFonts w:ascii="Bookman Old Style" w:hAnsi="Bookman Old Style" w:cs="Segoe UI Light"/>
          <w:b/>
          <w:sz w:val="24"/>
          <w:lang w:val="en-GB"/>
        </w:rPr>
      </w:pPr>
    </w:p>
    <w:p w14:paraId="0755A616" w14:textId="0A910050" w:rsidR="00C45200" w:rsidRDefault="00C45200" w:rsidP="005B1D66">
      <w:pPr>
        <w:spacing w:line="360" w:lineRule="auto"/>
        <w:rPr>
          <w:rFonts w:ascii="Bookman Old Style" w:hAnsi="Bookman Old Style" w:cs="Segoe UI Light"/>
          <w:b/>
          <w:sz w:val="24"/>
          <w:lang w:val="en-GB"/>
        </w:rPr>
      </w:pPr>
    </w:p>
    <w:p w14:paraId="77C5B242" w14:textId="649192E7" w:rsidR="00C45200" w:rsidRDefault="00C45200" w:rsidP="005B1D66">
      <w:pPr>
        <w:spacing w:line="360" w:lineRule="auto"/>
        <w:rPr>
          <w:rFonts w:ascii="Bookman Old Style" w:hAnsi="Bookman Old Style" w:cs="Segoe UI Light"/>
          <w:b/>
          <w:sz w:val="24"/>
          <w:lang w:val="en-GB"/>
        </w:rPr>
      </w:pPr>
    </w:p>
    <w:p w14:paraId="3FBD989C" w14:textId="1B11E23C" w:rsidR="00C45200" w:rsidRDefault="00C45200" w:rsidP="005B1D66">
      <w:pPr>
        <w:spacing w:line="360" w:lineRule="auto"/>
        <w:rPr>
          <w:rFonts w:ascii="Bookman Old Style" w:hAnsi="Bookman Old Style" w:cs="Segoe UI Light"/>
          <w:b/>
          <w:sz w:val="24"/>
          <w:lang w:val="en-GB"/>
        </w:rPr>
      </w:pPr>
    </w:p>
    <w:p w14:paraId="1820E3A1" w14:textId="7033B5DD" w:rsidR="00C45200" w:rsidRDefault="00C45200" w:rsidP="005B1D66">
      <w:pPr>
        <w:spacing w:line="360" w:lineRule="auto"/>
        <w:rPr>
          <w:rFonts w:ascii="Bookman Old Style" w:hAnsi="Bookman Old Style" w:cs="Segoe UI Light"/>
          <w:b/>
          <w:sz w:val="24"/>
          <w:lang w:val="en-GB"/>
        </w:rPr>
      </w:pPr>
    </w:p>
    <w:p w14:paraId="0AD4D7C6" w14:textId="1741FC29" w:rsidR="00C45200" w:rsidRDefault="00C45200" w:rsidP="005B1D66">
      <w:pPr>
        <w:spacing w:line="360" w:lineRule="auto"/>
        <w:rPr>
          <w:rFonts w:ascii="Bookman Old Style" w:hAnsi="Bookman Old Style" w:cs="Segoe UI Light"/>
          <w:b/>
          <w:sz w:val="24"/>
          <w:lang w:val="en-GB"/>
        </w:rPr>
      </w:pPr>
    </w:p>
    <w:p w14:paraId="597367BE" w14:textId="7E8F8294" w:rsidR="00C45200" w:rsidRDefault="00C45200" w:rsidP="005B1D66">
      <w:pPr>
        <w:spacing w:line="360" w:lineRule="auto"/>
        <w:rPr>
          <w:rFonts w:ascii="Bookman Old Style" w:hAnsi="Bookman Old Style" w:cs="Segoe UI Light"/>
          <w:b/>
          <w:sz w:val="24"/>
          <w:lang w:val="en-GB"/>
        </w:rPr>
      </w:pPr>
    </w:p>
    <w:p w14:paraId="629154DC" w14:textId="77777777" w:rsidR="00C45200" w:rsidRPr="00380609" w:rsidRDefault="00C45200" w:rsidP="005B1D66">
      <w:pPr>
        <w:spacing w:line="360" w:lineRule="auto"/>
        <w:rPr>
          <w:rFonts w:ascii="Bookman Old Style" w:hAnsi="Bookman Old Style" w:cs="Segoe UI Light"/>
          <w:b/>
          <w:sz w:val="24"/>
          <w:lang w:val="en-GB"/>
        </w:rPr>
      </w:pPr>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9"/>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11B1F" w14:textId="77777777" w:rsidR="00873D26" w:rsidRDefault="00873D26" w:rsidP="0078391C">
      <w:r>
        <w:separator/>
      </w:r>
    </w:p>
  </w:endnote>
  <w:endnote w:type="continuationSeparator" w:id="0">
    <w:p w14:paraId="223F23F0" w14:textId="77777777" w:rsidR="00873D26" w:rsidRDefault="00873D26"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4D"/>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val="en-GB" w:eastAsia="en-GB"/>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mo="http://schemas.microsoft.com/office/mac/office/2008/main" xmlns:mv="urn:schemas-microsoft-com:mac:vml">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6F024A">
          <w:rPr>
            <w:rFonts w:cs="Segoe UI Light"/>
            <w:noProof/>
            <w:sz w:val="20"/>
            <w:szCs w:val="20"/>
          </w:rPr>
          <w:t>5</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6F545" w14:textId="77777777" w:rsidR="00873D26" w:rsidRDefault="00873D26" w:rsidP="0078391C">
      <w:r>
        <w:separator/>
      </w:r>
    </w:p>
  </w:footnote>
  <w:footnote w:type="continuationSeparator" w:id="0">
    <w:p w14:paraId="38DA3228" w14:textId="77777777" w:rsidR="00873D26" w:rsidRDefault="00873D26" w:rsidP="00783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9012AD"/>
    <w:multiLevelType w:val="hybridMultilevel"/>
    <w:tmpl w:val="86783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4596738"/>
    <w:multiLevelType w:val="hybridMultilevel"/>
    <w:tmpl w:val="4AF06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5"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AE47BD6"/>
    <w:multiLevelType w:val="hybridMultilevel"/>
    <w:tmpl w:val="FD6CB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6448D2"/>
    <w:multiLevelType w:val="hybridMultilevel"/>
    <w:tmpl w:val="B7F0E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20" w15:restartNumberingAfterBreak="0">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3" w15:restartNumberingAfterBreak="0">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4"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B56417A"/>
    <w:multiLevelType w:val="hybridMultilevel"/>
    <w:tmpl w:val="3C9E0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30" w15:restartNumberingAfterBreak="0">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A0A6281"/>
    <w:multiLevelType w:val="hybridMultilevel"/>
    <w:tmpl w:val="7AB29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3"/>
  </w:num>
  <w:num w:numId="3">
    <w:abstractNumId w:val="15"/>
  </w:num>
  <w:num w:numId="4">
    <w:abstractNumId w:val="34"/>
  </w:num>
  <w:num w:numId="5">
    <w:abstractNumId w:val="28"/>
  </w:num>
  <w:num w:numId="6">
    <w:abstractNumId w:val="2"/>
  </w:num>
  <w:num w:numId="7">
    <w:abstractNumId w:val="19"/>
  </w:num>
  <w:num w:numId="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22"/>
  </w:num>
  <w:num w:numId="13">
    <w:abstractNumId w:val="14"/>
  </w:num>
  <w:num w:numId="14">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9"/>
  </w:num>
  <w:num w:numId="19">
    <w:abstractNumId w:val="0"/>
  </w:num>
  <w:num w:numId="20">
    <w:abstractNumId w:val="10"/>
  </w:num>
  <w:num w:numId="21">
    <w:abstractNumId w:val="26"/>
  </w:num>
  <w:num w:numId="22">
    <w:abstractNumId w:val="31"/>
  </w:num>
  <w:num w:numId="23">
    <w:abstractNumId w:val="37"/>
  </w:num>
  <w:num w:numId="24">
    <w:abstractNumId w:val="11"/>
  </w:num>
  <w:num w:numId="25">
    <w:abstractNumId w:val="27"/>
  </w:num>
  <w:num w:numId="26">
    <w:abstractNumId w:val="21"/>
  </w:num>
  <w:num w:numId="27">
    <w:abstractNumId w:val="9"/>
  </w:num>
  <w:num w:numId="28">
    <w:abstractNumId w:val="36"/>
  </w:num>
  <w:num w:numId="29">
    <w:abstractNumId w:val="1"/>
  </w:num>
  <w:num w:numId="30">
    <w:abstractNumId w:val="30"/>
  </w:num>
  <w:num w:numId="31">
    <w:abstractNumId w:val="7"/>
  </w:num>
  <w:num w:numId="32">
    <w:abstractNumId w:val="33"/>
  </w:num>
  <w:num w:numId="33">
    <w:abstractNumId w:val="6"/>
  </w:num>
  <w:num w:numId="34">
    <w:abstractNumId w:val="25"/>
  </w:num>
  <w:num w:numId="35">
    <w:abstractNumId w:val="32"/>
  </w:num>
  <w:num w:numId="36">
    <w:abstractNumId w:val="13"/>
  </w:num>
  <w:num w:numId="37">
    <w:abstractNumId w:val="16"/>
  </w:num>
  <w:num w:numId="38">
    <w:abstractNumId w:val="27"/>
  </w:num>
  <w:num w:numId="39">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0A95"/>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50A34"/>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518"/>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58DB"/>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3D26"/>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45200"/>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57"/>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9941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86090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9241">
      <w:bodyDiv w:val="1"/>
      <w:marLeft w:val="0"/>
      <w:marRight w:val="0"/>
      <w:marTop w:val="0"/>
      <w:marBottom w:val="0"/>
      <w:divBdr>
        <w:top w:val="none" w:sz="0" w:space="0" w:color="auto"/>
        <w:left w:val="none" w:sz="0" w:space="0" w:color="auto"/>
        <w:bottom w:val="none" w:sz="0" w:space="0" w:color="auto"/>
        <w:right w:val="none" w:sz="0" w:space="0" w:color="auto"/>
      </w:divBdr>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98595">
      <w:bodyDiv w:val="1"/>
      <w:marLeft w:val="0"/>
      <w:marRight w:val="0"/>
      <w:marTop w:val="0"/>
      <w:marBottom w:val="0"/>
      <w:divBdr>
        <w:top w:val="none" w:sz="0" w:space="0" w:color="auto"/>
        <w:left w:val="none" w:sz="0" w:space="0" w:color="auto"/>
        <w:bottom w:val="none" w:sz="0" w:space="0" w:color="auto"/>
        <w:right w:val="none" w:sz="0" w:space="0" w:color="auto"/>
      </w:divBdr>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258874">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7379840">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A250-96C5-F940-BB68-E66CEA8FC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4605</TotalTime>
  <Pages>21</Pages>
  <Words>3906</Words>
  <Characters>22267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26121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LAZARUS CHIDUMWA</cp:lastModifiedBy>
  <cp:revision>477</cp:revision>
  <cp:lastPrinted>2017-07-28T11:51:00Z</cp:lastPrinted>
  <dcterms:created xsi:type="dcterms:W3CDTF">2021-08-11T05:48:00Z</dcterms:created>
  <dcterms:modified xsi:type="dcterms:W3CDTF">2025-10-20T13:46:00Z</dcterms:modified>
</cp:coreProperties>
</file>