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F950D1" w14:textId="77777777" w:rsidR="00134A8E" w:rsidRPr="00622E97" w:rsidRDefault="00622E97" w:rsidP="00134A8E">
      <w:pPr>
        <w:jc w:val="center"/>
        <w:rPr>
          <w:rFonts w:asciiTheme="majorHAnsi" w:hAnsiTheme="majorHAnsi" w:cstheme="majorHAnsi"/>
          <w:b/>
          <w:sz w:val="24"/>
          <w:szCs w:val="24"/>
        </w:rPr>
      </w:pPr>
      <w:r w:rsidRPr="00622E97">
        <w:rPr>
          <w:rFonts w:asciiTheme="majorHAnsi" w:hAnsiTheme="majorHAnsi" w:cstheme="majorHAnsi"/>
          <w:b/>
          <w:sz w:val="24"/>
          <w:szCs w:val="24"/>
        </w:rPr>
        <w:t>LEARNING AND DEVELOPMENT MANAGEMENT FUNCTIONS</w:t>
      </w:r>
    </w:p>
    <w:p w14:paraId="039E6235" w14:textId="77777777" w:rsidR="00882096" w:rsidRPr="00622E97" w:rsidRDefault="00BB2492" w:rsidP="00134A8E">
      <w:pPr>
        <w:jc w:val="center"/>
        <w:rPr>
          <w:rFonts w:asciiTheme="majorHAnsi" w:hAnsiTheme="majorHAnsi" w:cstheme="majorHAnsi"/>
          <w:b/>
          <w:sz w:val="24"/>
          <w:szCs w:val="24"/>
        </w:rPr>
      </w:pPr>
      <w:r>
        <w:rPr>
          <w:rFonts w:asciiTheme="majorHAnsi" w:hAnsiTheme="majorHAnsi" w:cstheme="majorHAnsi"/>
          <w:b/>
          <w:sz w:val="24"/>
          <w:szCs w:val="24"/>
        </w:rPr>
        <w:t>FACILITATOR</w:t>
      </w:r>
      <w:r w:rsidR="00622E97" w:rsidRPr="00622E97">
        <w:rPr>
          <w:rFonts w:asciiTheme="majorHAnsi" w:hAnsiTheme="majorHAnsi" w:cstheme="majorHAnsi"/>
          <w:b/>
          <w:sz w:val="24"/>
          <w:szCs w:val="24"/>
        </w:rPr>
        <w:t xml:space="preserve"> GUIDE</w:t>
      </w:r>
    </w:p>
    <w:p w14:paraId="6E2A3D87" w14:textId="77777777" w:rsidR="002773C7" w:rsidRDefault="002773C7"/>
    <w:p w14:paraId="65875FAC" w14:textId="77777777" w:rsidR="002773C7" w:rsidRDefault="002773C7"/>
    <w:p w14:paraId="156E3E9A" w14:textId="77777777" w:rsidR="002773C7" w:rsidRDefault="002773C7"/>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773C7" w14:paraId="7ED7CE06" w14:textId="77777777" w:rsidTr="00144453">
        <w:tc>
          <w:tcPr>
            <w:tcW w:w="1286" w:type="pct"/>
            <w:shd w:val="clear" w:color="auto" w:fill="C6D9F1"/>
          </w:tcPr>
          <w:p w14:paraId="416449C0"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bookmarkStart w:id="0" w:name="_Hlk504378400"/>
            <w:r w:rsidRPr="002773C7">
              <w:rPr>
                <w:rFonts w:ascii="Calibri Light" w:eastAsia="Times New Roman" w:hAnsi="Calibri Light" w:cs="Times New Roman"/>
                <w:b/>
                <w:sz w:val="24"/>
                <w:szCs w:val="24"/>
              </w:rPr>
              <w:t>Module #</w:t>
            </w:r>
          </w:p>
        </w:tc>
        <w:tc>
          <w:tcPr>
            <w:tcW w:w="3714" w:type="pct"/>
          </w:tcPr>
          <w:p w14:paraId="3F6E203E"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sidRPr="00622E97">
              <w:rPr>
                <w:rFonts w:ascii="Calibri Light" w:eastAsia="Times New Roman" w:hAnsi="Calibri Light" w:cs="Times New Roman"/>
                <w:sz w:val="24"/>
                <w:szCs w:val="24"/>
              </w:rPr>
              <w:t>242401001-KM-02</w:t>
            </w:r>
          </w:p>
        </w:tc>
      </w:tr>
      <w:tr w:rsidR="002773C7" w:rsidRPr="002773C7" w14:paraId="3FEB0372" w14:textId="77777777" w:rsidTr="00144453">
        <w:tc>
          <w:tcPr>
            <w:tcW w:w="1286" w:type="pct"/>
            <w:shd w:val="clear" w:color="auto" w:fill="C6D9F1"/>
          </w:tcPr>
          <w:p w14:paraId="3807C4C6"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NQF Level</w:t>
            </w:r>
          </w:p>
        </w:tc>
        <w:tc>
          <w:tcPr>
            <w:tcW w:w="3714" w:type="pct"/>
          </w:tcPr>
          <w:p w14:paraId="1D14BEDE"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5</w:t>
            </w:r>
          </w:p>
        </w:tc>
      </w:tr>
      <w:tr w:rsidR="002773C7" w:rsidRPr="002773C7" w14:paraId="0AD770A0" w14:textId="77777777" w:rsidTr="00144453">
        <w:tc>
          <w:tcPr>
            <w:tcW w:w="1286" w:type="pct"/>
            <w:shd w:val="clear" w:color="auto" w:fill="C6D9F1"/>
          </w:tcPr>
          <w:p w14:paraId="35EFFA1E"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Notional hours</w:t>
            </w:r>
          </w:p>
        </w:tc>
        <w:tc>
          <w:tcPr>
            <w:tcW w:w="3714" w:type="pct"/>
          </w:tcPr>
          <w:p w14:paraId="525B123C"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80</w:t>
            </w:r>
          </w:p>
        </w:tc>
      </w:tr>
      <w:tr w:rsidR="002773C7" w:rsidRPr="002773C7" w14:paraId="01A12457" w14:textId="77777777" w:rsidTr="00144453">
        <w:tc>
          <w:tcPr>
            <w:tcW w:w="1286" w:type="pct"/>
            <w:shd w:val="clear" w:color="auto" w:fill="C6D9F1"/>
          </w:tcPr>
          <w:p w14:paraId="06086206"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Credit(s)</w:t>
            </w:r>
          </w:p>
        </w:tc>
        <w:tc>
          <w:tcPr>
            <w:tcW w:w="3714" w:type="pct"/>
          </w:tcPr>
          <w:p w14:paraId="0AA546FE" w14:textId="77777777" w:rsidR="002773C7" w:rsidRPr="002773C7" w:rsidRDefault="00622E97" w:rsidP="002773C7">
            <w:pPr>
              <w:spacing w:after="0" w:line="360" w:lineRule="auto"/>
              <w:jc w:val="both"/>
              <w:rPr>
                <w:rFonts w:ascii="Calibri Light" w:eastAsia="Times New Roman" w:hAnsi="Calibri Light" w:cs="Times New Roman"/>
                <w:sz w:val="24"/>
                <w:szCs w:val="24"/>
              </w:rPr>
            </w:pPr>
            <w:r>
              <w:rPr>
                <w:rFonts w:ascii="Calibri Light" w:eastAsia="Times New Roman" w:hAnsi="Calibri Light" w:cs="Times New Roman"/>
                <w:sz w:val="24"/>
                <w:szCs w:val="24"/>
              </w:rPr>
              <w:t>8</w:t>
            </w:r>
          </w:p>
        </w:tc>
      </w:tr>
      <w:tr w:rsidR="002773C7" w:rsidRPr="002773C7" w14:paraId="4734D195" w14:textId="77777777" w:rsidTr="00144453">
        <w:tc>
          <w:tcPr>
            <w:tcW w:w="1286" w:type="pct"/>
            <w:shd w:val="clear" w:color="auto" w:fill="C6D9F1"/>
          </w:tcPr>
          <w:p w14:paraId="1DFBDB93"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Development</w:t>
            </w:r>
          </w:p>
          <w:p w14:paraId="62235232"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Quality Partner</w:t>
            </w:r>
          </w:p>
        </w:tc>
        <w:tc>
          <w:tcPr>
            <w:tcW w:w="3714" w:type="pct"/>
          </w:tcPr>
          <w:p w14:paraId="00152B90" w14:textId="77777777" w:rsidR="002773C7" w:rsidRPr="002773C7" w:rsidRDefault="000B659D" w:rsidP="002773C7">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ETDP SETA</w:t>
            </w:r>
          </w:p>
        </w:tc>
      </w:tr>
      <w:tr w:rsidR="002773C7" w:rsidRPr="002773C7" w14:paraId="1BB00CA1" w14:textId="77777777" w:rsidTr="00144453">
        <w:tc>
          <w:tcPr>
            <w:tcW w:w="1286" w:type="pct"/>
            <w:shd w:val="clear" w:color="auto" w:fill="C6D9F1"/>
          </w:tcPr>
          <w:p w14:paraId="505929A8"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Occupation or </w:t>
            </w:r>
            <w:r w:rsidR="00134A8E" w:rsidRPr="002773C7">
              <w:rPr>
                <w:rFonts w:ascii="Calibri Light" w:eastAsia="Times New Roman" w:hAnsi="Calibri Light" w:cs="Times New Roman"/>
                <w:b/>
                <w:sz w:val="24"/>
                <w:szCs w:val="24"/>
              </w:rPr>
              <w:t>Specialization</w:t>
            </w:r>
          </w:p>
        </w:tc>
        <w:tc>
          <w:tcPr>
            <w:tcW w:w="3714" w:type="pct"/>
          </w:tcPr>
          <w:p w14:paraId="079FE20F"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tr w:rsidR="002773C7" w:rsidRPr="002773C7" w14:paraId="20DC636C" w14:textId="77777777" w:rsidTr="00144453">
        <w:tc>
          <w:tcPr>
            <w:tcW w:w="1286" w:type="pct"/>
            <w:shd w:val="clear" w:color="auto" w:fill="C6D9F1"/>
          </w:tcPr>
          <w:p w14:paraId="4BE13249" w14:textId="77777777" w:rsidR="002773C7" w:rsidRPr="002773C7" w:rsidRDefault="002773C7" w:rsidP="002773C7">
            <w:pPr>
              <w:spacing w:after="0" w:line="360" w:lineRule="auto"/>
              <w:jc w:val="both"/>
              <w:rPr>
                <w:rFonts w:ascii="Calibri Light" w:eastAsia="Times New Roman" w:hAnsi="Calibri Light" w:cs="Times New Roman"/>
                <w:b/>
                <w:sz w:val="24"/>
                <w:szCs w:val="24"/>
              </w:rPr>
            </w:pPr>
            <w:r w:rsidRPr="002773C7">
              <w:rPr>
                <w:rFonts w:ascii="Calibri Light" w:eastAsia="Times New Roman" w:hAnsi="Calibri Light" w:cs="Times New Roman"/>
                <w:b/>
                <w:sz w:val="24"/>
                <w:szCs w:val="24"/>
              </w:rPr>
              <w:t xml:space="preserve">Associated Occupation </w:t>
            </w:r>
          </w:p>
        </w:tc>
        <w:tc>
          <w:tcPr>
            <w:tcW w:w="3714" w:type="pct"/>
          </w:tcPr>
          <w:p w14:paraId="19530465" w14:textId="77777777" w:rsidR="002773C7" w:rsidRPr="002773C7" w:rsidRDefault="000B659D" w:rsidP="000B659D">
            <w:pPr>
              <w:spacing w:after="0" w:line="360" w:lineRule="auto"/>
              <w:jc w:val="both"/>
              <w:rPr>
                <w:rFonts w:ascii="Calibri Light" w:eastAsia="Times New Roman" w:hAnsi="Calibri Light" w:cs="Times New Roman"/>
                <w:sz w:val="24"/>
                <w:szCs w:val="24"/>
              </w:rPr>
            </w:pPr>
            <w:r w:rsidRPr="000B659D">
              <w:rPr>
                <w:rFonts w:ascii="Calibri Light" w:eastAsia="Times New Roman" w:hAnsi="Calibri Light" w:cs="Times New Roman"/>
                <w:sz w:val="24"/>
                <w:szCs w:val="24"/>
              </w:rPr>
              <w:t>242401001</w:t>
            </w:r>
            <w:r>
              <w:rPr>
                <w:rFonts w:ascii="Calibri Light" w:eastAsia="Times New Roman" w:hAnsi="Calibri Light" w:cs="Times New Roman"/>
                <w:sz w:val="24"/>
                <w:szCs w:val="24"/>
              </w:rPr>
              <w:t xml:space="preserve">;Learning and Development </w:t>
            </w:r>
            <w:r w:rsidRPr="000B659D">
              <w:rPr>
                <w:rFonts w:ascii="Calibri Light" w:eastAsia="Times New Roman" w:hAnsi="Calibri Light" w:cs="Times New Roman"/>
                <w:sz w:val="24"/>
                <w:szCs w:val="24"/>
              </w:rPr>
              <w:t>Practitioner</w:t>
            </w:r>
          </w:p>
        </w:tc>
      </w:tr>
      <w:bookmarkEnd w:id="0"/>
    </w:tbl>
    <w:p w14:paraId="41DED9B6" w14:textId="77777777" w:rsidR="002773C7" w:rsidRDefault="002773C7"/>
    <w:p w14:paraId="1D52ECCB" w14:textId="77777777" w:rsidR="002773C7" w:rsidRDefault="002773C7">
      <w: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773C7" w14:paraId="329C4649"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152DAC7"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bookmarkStart w:id="1" w:name="_Hlk503954940"/>
            <w:r w:rsidRPr="002773C7">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329FAC28"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07673357"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0412A80"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4F082B05"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47C2587C"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D293FE3"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284B28B"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6F76C5AF"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5C96CA9"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B5A3A2E"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786DE8D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A8AB5A6"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6676A82"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1D03D6D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B89BA33"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5DB8FE62" w14:textId="77777777" w:rsidR="002773C7" w:rsidRPr="002773C7" w:rsidRDefault="002773C7" w:rsidP="002773C7">
            <w:pPr>
              <w:spacing w:after="0" w:line="360" w:lineRule="auto"/>
              <w:rPr>
                <w:rFonts w:ascii="Century Gothic" w:eastAsia="Times New Roman" w:hAnsi="Century Gothic" w:cs="Arial"/>
                <w:color w:val="000000"/>
                <w:lang w:val="en-GB"/>
              </w:rPr>
            </w:pPr>
          </w:p>
        </w:tc>
      </w:tr>
      <w:tr w:rsidR="002773C7" w:rsidRPr="002773C7" w14:paraId="6DF694E1"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75686EC" w14:textId="77777777" w:rsidR="002773C7" w:rsidRPr="002773C7" w:rsidRDefault="002773C7" w:rsidP="002773C7">
            <w:pPr>
              <w:spacing w:after="0" w:line="360" w:lineRule="auto"/>
              <w:rPr>
                <w:rFonts w:ascii="Calibri Light" w:eastAsia="Times New Roman" w:hAnsi="Calibri Light" w:cs="Arial"/>
                <w:b/>
                <w:bCs/>
                <w:color w:val="000000"/>
                <w:sz w:val="24"/>
                <w:szCs w:val="24"/>
                <w:lang w:val="en-GB"/>
              </w:rPr>
            </w:pPr>
            <w:r w:rsidRPr="002773C7">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0D82CCC7" w14:textId="77777777" w:rsidR="002773C7" w:rsidRPr="002773C7" w:rsidRDefault="002773C7" w:rsidP="002773C7">
            <w:pPr>
              <w:spacing w:after="0" w:line="360" w:lineRule="auto"/>
              <w:rPr>
                <w:rFonts w:ascii="Century Gothic" w:eastAsia="Times New Roman" w:hAnsi="Century Gothic" w:cs="Arial"/>
                <w:color w:val="000000"/>
                <w:lang w:val="en-GB"/>
              </w:rPr>
            </w:pPr>
          </w:p>
        </w:tc>
      </w:tr>
      <w:bookmarkEnd w:id="1"/>
    </w:tbl>
    <w:p w14:paraId="27BA6A7C" w14:textId="77777777" w:rsidR="002773C7" w:rsidRDefault="002773C7"/>
    <w:p w14:paraId="3593DC82" w14:textId="77777777" w:rsidR="002773C7" w:rsidRDefault="002773C7">
      <w:r>
        <w:br w:type="page"/>
      </w:r>
    </w:p>
    <w:p w14:paraId="047F2951" w14:textId="77777777" w:rsidR="002773C7" w:rsidRPr="004E171F" w:rsidRDefault="002773C7" w:rsidP="004E171F">
      <w:pPr>
        <w:shd w:val="clear" w:color="auto" w:fill="9CC2E5" w:themeFill="accent1" w:themeFillTint="99"/>
        <w:spacing w:after="0" w:line="360" w:lineRule="auto"/>
        <w:rPr>
          <w:rFonts w:asciiTheme="majorHAnsi" w:eastAsia="Times New Roman" w:hAnsiTheme="majorHAnsi" w:cstheme="majorHAnsi"/>
          <w:b/>
          <w:sz w:val="24"/>
          <w:szCs w:val="24"/>
        </w:rPr>
      </w:pPr>
      <w:r w:rsidRPr="002773C7">
        <w:rPr>
          <w:rFonts w:ascii="Calibri Light" w:eastAsia="Times New Roman" w:hAnsi="Calibri Light" w:cs="Times New Roman"/>
          <w:b/>
        </w:rPr>
        <w:t xml:space="preserve">Note to </w:t>
      </w:r>
      <w:r w:rsidRPr="004E171F">
        <w:rPr>
          <w:rFonts w:asciiTheme="majorHAnsi" w:eastAsia="Times New Roman" w:hAnsiTheme="majorHAnsi" w:cstheme="majorHAnsi"/>
          <w:b/>
          <w:sz w:val="24"/>
          <w:szCs w:val="24"/>
        </w:rPr>
        <w:t>the learner</w:t>
      </w:r>
    </w:p>
    <w:p w14:paraId="1D60C3D9" w14:textId="77777777" w:rsidR="002773C7" w:rsidRPr="004E171F" w:rsidRDefault="002773C7" w:rsidP="004E171F">
      <w:pPr>
        <w:tabs>
          <w:tab w:val="left" w:pos="5387"/>
        </w:tabs>
        <w:spacing w:after="0" w:line="360" w:lineRule="auto"/>
        <w:rPr>
          <w:rFonts w:asciiTheme="majorHAnsi" w:eastAsia="Times New Roman" w:hAnsiTheme="majorHAnsi" w:cstheme="majorHAnsi"/>
          <w:color w:val="FF0000"/>
          <w:sz w:val="24"/>
          <w:szCs w:val="24"/>
        </w:rPr>
      </w:pPr>
      <w:r w:rsidRPr="004E171F">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244610E2" w14:textId="77777777" w:rsidR="002773C7" w:rsidRPr="004E171F" w:rsidRDefault="004B4B82"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Purpose</w:t>
      </w:r>
    </w:p>
    <w:p w14:paraId="2F0278A8" w14:textId="77777777" w:rsidR="002773C7" w:rsidRPr="004E171F" w:rsidRDefault="00622E97"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hAnsiTheme="majorHAnsi" w:cstheme="majorHAnsi"/>
          <w:sz w:val="24"/>
          <w:szCs w:val="24"/>
        </w:rPr>
        <w:t>The main focus of the learning in this knowledge module is to build an understanding of concepts required to manage learning and development.</w:t>
      </w:r>
    </w:p>
    <w:p w14:paraId="0CDB949C" w14:textId="77777777" w:rsidR="00622E97" w:rsidRPr="004E171F" w:rsidRDefault="002773C7"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Topic elements to be covered include</w:t>
      </w:r>
    </w:p>
    <w:p w14:paraId="5EE0D466"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KM-02-KT01: Learning and development management concepts (15%) </w:t>
      </w:r>
    </w:p>
    <w:p w14:paraId="724141F1"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KM-02-KT02: Learning and development intervention planning and co-ordination (20%) </w:t>
      </w:r>
    </w:p>
    <w:p w14:paraId="4C8BA22D"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KM-02-KT03: Learning and development quality management concepts (30%) </w:t>
      </w:r>
    </w:p>
    <w:p w14:paraId="23D97A48"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KM-02-KT04: Learning and development procurement concepts and practices (10%) </w:t>
      </w:r>
    </w:p>
    <w:p w14:paraId="6934DF24" w14:textId="77777777" w:rsidR="00622E97" w:rsidRPr="004E171F" w:rsidRDefault="00622E97" w:rsidP="004E171F">
      <w:pPr>
        <w:pStyle w:val="Default"/>
        <w:numPr>
          <w:ilvl w:val="0"/>
          <w:numId w:val="1"/>
        </w:numPr>
        <w:spacing w:after="260" w:line="360" w:lineRule="auto"/>
        <w:rPr>
          <w:rFonts w:asciiTheme="majorHAnsi" w:hAnsiTheme="majorHAnsi" w:cstheme="majorHAnsi"/>
        </w:rPr>
      </w:pPr>
      <w:r w:rsidRPr="004E171F">
        <w:rPr>
          <w:rFonts w:asciiTheme="majorHAnsi" w:hAnsiTheme="majorHAnsi" w:cstheme="majorHAnsi"/>
        </w:rPr>
        <w:t xml:space="preserve">KM-02-KT05: Communication and reporting within Learning and Development Management (15%) </w:t>
      </w:r>
    </w:p>
    <w:p w14:paraId="2C6150C1" w14:textId="77777777" w:rsidR="002773C7" w:rsidRPr="004E171F" w:rsidRDefault="00622E97" w:rsidP="004E171F">
      <w:pPr>
        <w:pStyle w:val="Default"/>
        <w:numPr>
          <w:ilvl w:val="0"/>
          <w:numId w:val="1"/>
        </w:numPr>
        <w:spacing w:line="360" w:lineRule="auto"/>
        <w:rPr>
          <w:rFonts w:asciiTheme="majorHAnsi" w:hAnsiTheme="majorHAnsi" w:cstheme="majorHAnsi"/>
        </w:rPr>
      </w:pPr>
      <w:r w:rsidRPr="004E171F">
        <w:rPr>
          <w:rFonts w:asciiTheme="majorHAnsi" w:hAnsiTheme="majorHAnsi" w:cstheme="majorHAnsi"/>
        </w:rPr>
        <w:t xml:space="preserve">KM-02-KT06: Learning and development ethics (10%) </w:t>
      </w:r>
    </w:p>
    <w:p w14:paraId="2C63CC70" w14:textId="77777777" w:rsidR="004E171F" w:rsidRPr="004E171F" w:rsidRDefault="002773C7"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Exemptions</w:t>
      </w:r>
    </w:p>
    <w:p w14:paraId="0BA6B3BE" w14:textId="77777777" w:rsidR="002773C7" w:rsidRPr="004E171F" w:rsidRDefault="004E171F" w:rsidP="004E171F">
      <w:pPr>
        <w:pStyle w:val="Default"/>
        <w:spacing w:line="360" w:lineRule="auto"/>
        <w:rPr>
          <w:rFonts w:asciiTheme="majorHAnsi" w:hAnsiTheme="majorHAnsi" w:cstheme="majorHAnsi"/>
        </w:rPr>
      </w:pPr>
      <w:r w:rsidRPr="004E171F">
        <w:rPr>
          <w:rFonts w:asciiTheme="majorHAnsi" w:hAnsiTheme="majorHAnsi" w:cstheme="majorHAnsi"/>
        </w:rPr>
        <w:t>No exemptions are currently recognised for any of the listed knowledge modules. An RPL approach is recommended fo</w:t>
      </w:r>
      <w:r>
        <w:rPr>
          <w:rFonts w:asciiTheme="majorHAnsi" w:hAnsiTheme="majorHAnsi" w:cstheme="majorHAnsi"/>
        </w:rPr>
        <w:t xml:space="preserve">r all listed knowledge modules </w:t>
      </w:r>
    </w:p>
    <w:p w14:paraId="154A2557" w14:textId="77777777" w:rsidR="002773C7" w:rsidRPr="004E171F" w:rsidRDefault="004B4B82"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Entry Requirements</w:t>
      </w:r>
    </w:p>
    <w:p w14:paraId="58873F9D" w14:textId="77777777" w:rsidR="002773C7" w:rsidRPr="004E171F" w:rsidRDefault="000B659D" w:rsidP="004E171F">
      <w:pPr>
        <w:tabs>
          <w:tab w:val="left" w:pos="5387"/>
        </w:tabs>
        <w:spacing w:after="0" w:line="360" w:lineRule="auto"/>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NQF level 4 with Communication</w:t>
      </w:r>
    </w:p>
    <w:p w14:paraId="57A04F0A" w14:textId="77777777" w:rsidR="002773C7" w:rsidRPr="004E171F" w:rsidRDefault="002773C7" w:rsidP="004E171F">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Provider Accreditation Requirements for the Knowledge Module</w:t>
      </w:r>
    </w:p>
    <w:p w14:paraId="3C0506C7" w14:textId="77777777" w:rsidR="004E171F" w:rsidRPr="004E171F" w:rsidRDefault="002773C7"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Physical Requirements</w:t>
      </w:r>
    </w:p>
    <w:p w14:paraId="27E1D976" w14:textId="77777777" w:rsidR="004E171F" w:rsidRPr="004E171F" w:rsidRDefault="004E171F" w:rsidP="004E171F">
      <w:pPr>
        <w:pStyle w:val="Default"/>
        <w:numPr>
          <w:ilvl w:val="0"/>
          <w:numId w:val="8"/>
        </w:numPr>
        <w:spacing w:after="260" w:line="360" w:lineRule="auto"/>
        <w:rPr>
          <w:rFonts w:asciiTheme="majorHAnsi" w:hAnsiTheme="majorHAnsi" w:cstheme="majorHAnsi"/>
        </w:rPr>
      </w:pPr>
      <w:r w:rsidRPr="004E171F">
        <w:rPr>
          <w:rFonts w:asciiTheme="majorHAnsi" w:hAnsiTheme="majorHAnsi" w:cstheme="majorHAnsi"/>
        </w:rPr>
        <w:t xml:space="preserve">Learning and development resources aligned to the scope and content of the module </w:t>
      </w:r>
    </w:p>
    <w:p w14:paraId="1E603D31" w14:textId="77777777" w:rsidR="004E171F" w:rsidRPr="004E171F" w:rsidRDefault="004E171F" w:rsidP="004E171F">
      <w:pPr>
        <w:pStyle w:val="Default"/>
        <w:numPr>
          <w:ilvl w:val="0"/>
          <w:numId w:val="8"/>
        </w:numPr>
        <w:spacing w:line="360" w:lineRule="auto"/>
        <w:rPr>
          <w:rFonts w:asciiTheme="majorHAnsi" w:hAnsiTheme="majorHAnsi" w:cstheme="majorHAnsi"/>
        </w:rPr>
      </w:pPr>
      <w:r w:rsidRPr="004E171F">
        <w:rPr>
          <w:rFonts w:asciiTheme="majorHAnsi" w:hAnsiTheme="majorHAnsi" w:cstheme="majorHAnsi"/>
        </w:rPr>
        <w:t xml:space="preserve">Learner assessment resources (database, tools, records) </w:t>
      </w:r>
    </w:p>
    <w:p w14:paraId="6D18328D" w14:textId="77777777" w:rsidR="004E171F" w:rsidRP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4583C70"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58138035"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7F2A6431" w14:textId="77777777" w:rsidR="004E171F" w:rsidRPr="004E171F" w:rsidRDefault="002773C7"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Human Resource Requirements:</w:t>
      </w:r>
    </w:p>
    <w:p w14:paraId="18529E12" w14:textId="77777777" w:rsidR="004E171F" w:rsidRPr="004E171F" w:rsidRDefault="004E171F" w:rsidP="004E171F">
      <w:pPr>
        <w:pStyle w:val="Default"/>
        <w:numPr>
          <w:ilvl w:val="0"/>
          <w:numId w:val="9"/>
        </w:numPr>
        <w:spacing w:after="258" w:line="360" w:lineRule="auto"/>
        <w:rPr>
          <w:rFonts w:asciiTheme="majorHAnsi" w:hAnsiTheme="majorHAnsi" w:cstheme="majorHAnsi"/>
        </w:rPr>
      </w:pPr>
      <w:r w:rsidRPr="004E171F">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3486CC2A" w14:textId="77777777" w:rsidR="002773C7" w:rsidRPr="004E171F" w:rsidRDefault="004E171F" w:rsidP="004E171F">
      <w:pPr>
        <w:pStyle w:val="Default"/>
        <w:numPr>
          <w:ilvl w:val="0"/>
          <w:numId w:val="9"/>
        </w:numPr>
        <w:spacing w:line="360" w:lineRule="auto"/>
        <w:rPr>
          <w:rFonts w:asciiTheme="majorHAnsi" w:hAnsiTheme="majorHAnsi" w:cstheme="majorHAnsi"/>
        </w:rPr>
      </w:pPr>
      <w:r w:rsidRPr="004E171F">
        <w:rPr>
          <w:rFonts w:asciiTheme="majorHAnsi" w:hAnsiTheme="majorHAnsi" w:cstheme="majorHAnsi"/>
        </w:rPr>
        <w:t xml:space="preserve">Access to assessment expertise in terms of subject matter related prior learning, experience and credibility </w:t>
      </w:r>
    </w:p>
    <w:p w14:paraId="325346DE" w14:textId="77777777" w:rsidR="004E171F" w:rsidRPr="004E171F" w:rsidRDefault="004E171F"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Legal Requirements</w:t>
      </w:r>
    </w:p>
    <w:p w14:paraId="3FD283CC" w14:textId="77777777" w:rsidR="004B4B82" w:rsidRPr="004E171F" w:rsidRDefault="004E171F" w:rsidP="004E171F">
      <w:pPr>
        <w:pStyle w:val="Default"/>
        <w:numPr>
          <w:ilvl w:val="0"/>
          <w:numId w:val="10"/>
        </w:numPr>
        <w:spacing w:line="360" w:lineRule="auto"/>
        <w:rPr>
          <w:rFonts w:asciiTheme="majorHAnsi" w:hAnsiTheme="majorHAnsi" w:cstheme="majorHAnsi"/>
        </w:rPr>
      </w:pPr>
      <w:r w:rsidRPr="004E171F">
        <w:rPr>
          <w:rFonts w:asciiTheme="majorHAnsi" w:hAnsiTheme="majorHAnsi" w:cstheme="majorHAnsi"/>
        </w:rPr>
        <w:t xml:space="preserve">Access to facilities that comply with occupational health and safety standards where contact learning or assessment sessions are delivered </w:t>
      </w:r>
    </w:p>
    <w:p w14:paraId="0A16F816" w14:textId="77777777" w:rsidR="004B4B82" w:rsidRPr="004E171F" w:rsidRDefault="004B4B82" w:rsidP="004E171F">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Venue, Date and Time:</w:t>
      </w:r>
    </w:p>
    <w:p w14:paraId="2E3828B4" w14:textId="77777777" w:rsidR="004B4B82" w:rsidRPr="004E171F" w:rsidRDefault="004B4B82" w:rsidP="004E171F">
      <w:pPr>
        <w:spacing w:after="0" w:line="360" w:lineRule="auto"/>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Consult your facilitator should there be any changes to the venue, date and/or time.</w:t>
      </w:r>
    </w:p>
    <w:p w14:paraId="3B7E4A85" w14:textId="77777777" w:rsidR="002773C7" w:rsidRPr="004E171F" w:rsidRDefault="004B4B82" w:rsidP="004E171F">
      <w:pPr>
        <w:tabs>
          <w:tab w:val="left" w:pos="5387"/>
        </w:tabs>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sz w:val="24"/>
          <w:szCs w:val="24"/>
        </w:rPr>
        <w:t xml:space="preserve">  Refer to your timetable</w:t>
      </w:r>
    </w:p>
    <w:p w14:paraId="76FDB4F1" w14:textId="77777777" w:rsidR="002773C7" w:rsidRPr="004E171F" w:rsidRDefault="00134A8E" w:rsidP="004E171F">
      <w:pPr>
        <w:shd w:val="clear" w:color="auto" w:fill="9CC2E5" w:themeFill="accent1" w:themeFillTint="99"/>
        <w:spacing w:after="0"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Assessments</w:t>
      </w:r>
    </w:p>
    <w:p w14:paraId="7E137F94"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D123EAF"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p>
    <w:p w14:paraId="4FFBAB65"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4EB2A25"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p>
    <w:p w14:paraId="4CBC88DC" w14:textId="77777777" w:rsidR="00134A8E" w:rsidRPr="004E171F" w:rsidRDefault="00134A8E" w:rsidP="004E171F">
      <w:pPr>
        <w:spacing w:after="0" w:line="360" w:lineRule="auto"/>
        <w:jc w:val="both"/>
        <w:rPr>
          <w:rFonts w:asciiTheme="majorHAnsi" w:eastAsia="Times New Roman" w:hAnsiTheme="majorHAnsi" w:cstheme="majorHAnsi"/>
          <w:sz w:val="24"/>
          <w:szCs w:val="24"/>
        </w:rPr>
      </w:pPr>
      <w:r w:rsidRPr="004E171F">
        <w:rPr>
          <w:rFonts w:asciiTheme="majorHAnsi" w:eastAsia="Times New Roman" w:hAnsiTheme="majorHAnsi" w:cstheme="majorHAnsi"/>
          <w:sz w:val="24"/>
          <w:szCs w:val="24"/>
        </w:rPr>
        <w:t>Listen carefully to the instructions of the facilitator and do the given activities in the time given to you.</w:t>
      </w:r>
    </w:p>
    <w:p w14:paraId="77DB3B55"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134A8E" w14:paraId="5134F395"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30801CCC" w14:textId="77777777" w:rsidR="00134A8E" w:rsidRPr="00134A8E" w:rsidRDefault="00134A8E" w:rsidP="00134A8E">
            <w:pPr>
              <w:spacing w:after="0" w:line="360" w:lineRule="auto"/>
              <w:rPr>
                <w:rFonts w:ascii="Calibri Light" w:eastAsia="Calibri" w:hAnsi="Calibri Light" w:cs="Times New Roman"/>
                <w:b/>
                <w:sz w:val="20"/>
                <w:szCs w:val="20"/>
              </w:rPr>
            </w:pPr>
          </w:p>
          <w:p w14:paraId="3DDD8DC2"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2FC460E0" wp14:editId="1BC53377">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42889" w14:textId="77777777" w:rsidR="00134A8E" w:rsidRPr="00134A8E" w:rsidRDefault="00134A8E" w:rsidP="00134A8E">
            <w:pPr>
              <w:spacing w:after="0" w:line="360" w:lineRule="auto"/>
              <w:rPr>
                <w:rFonts w:ascii="Calibri Light" w:eastAsia="Calibri" w:hAnsi="Calibri Light" w:cs="Times New Roman"/>
                <w:b/>
                <w:sz w:val="20"/>
                <w:szCs w:val="20"/>
              </w:rPr>
            </w:pPr>
          </w:p>
          <w:p w14:paraId="09E4008A" w14:textId="77777777" w:rsidR="00134A8E" w:rsidRPr="00134A8E" w:rsidRDefault="00134A8E" w:rsidP="00134A8E">
            <w:pPr>
              <w:spacing w:after="0" w:line="360" w:lineRule="auto"/>
              <w:rPr>
                <w:rFonts w:ascii="Calibri Light" w:eastAsia="Calibri" w:hAnsi="Calibri Light" w:cs="Times New Roman"/>
                <w:b/>
                <w:sz w:val="20"/>
                <w:szCs w:val="20"/>
              </w:rPr>
            </w:pPr>
          </w:p>
          <w:p w14:paraId="0AF56FD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4D096C7"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means that other books are available for further information on a particular topic/subject.</w:t>
            </w:r>
          </w:p>
        </w:tc>
      </w:tr>
      <w:tr w:rsidR="00134A8E" w:rsidRPr="00134A8E" w14:paraId="7C8DCDB2"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7718A2B"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775417A5" wp14:editId="701C16B7">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CE9B2A"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Calibri Light" w:eastAsia="Calibri" w:hAnsi="Calibri Light" w:cs="Times New Roman"/>
                <w:b/>
                <w:noProof/>
                <w:sz w:val="20"/>
                <w:szCs w:val="20"/>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6238AB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refers to any examples, handouts, checklists, etc…</w:t>
            </w:r>
          </w:p>
        </w:tc>
      </w:tr>
      <w:tr w:rsidR="00134A8E" w:rsidRPr="00134A8E" w14:paraId="4C4B4EF8"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6719147B"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0A05B67" wp14:editId="22DF27B5">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33A566" w14:textId="77777777" w:rsidR="00134A8E" w:rsidRPr="00134A8E" w:rsidRDefault="00134A8E" w:rsidP="00134A8E">
            <w:pPr>
              <w:spacing w:after="0" w:line="360" w:lineRule="auto"/>
              <w:rPr>
                <w:rFonts w:ascii="Calibri Light" w:eastAsia="Calibri" w:hAnsi="Calibri Light" w:cs="Times New Roman"/>
                <w:b/>
                <w:sz w:val="20"/>
                <w:szCs w:val="20"/>
              </w:rPr>
            </w:pPr>
          </w:p>
          <w:p w14:paraId="005D176B" w14:textId="77777777" w:rsidR="00134A8E" w:rsidRPr="00134A8E" w:rsidRDefault="00134A8E" w:rsidP="00134A8E">
            <w:pPr>
              <w:spacing w:after="0" w:line="360" w:lineRule="auto"/>
              <w:rPr>
                <w:rFonts w:ascii="Calibri Light" w:eastAsia="Calibri" w:hAnsi="Calibri Light" w:cs="Times New Roman"/>
                <w:b/>
                <w:sz w:val="20"/>
                <w:szCs w:val="20"/>
              </w:rPr>
            </w:pPr>
          </w:p>
          <w:p w14:paraId="0E5823CA"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661AD89"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 xml:space="preserve">This icon represents important information related to a specific topic or section of the guide. </w:t>
            </w:r>
          </w:p>
        </w:tc>
      </w:tr>
      <w:tr w:rsidR="00134A8E" w:rsidRPr="00134A8E" w14:paraId="30067730"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00216939" w14:textId="77777777" w:rsidR="00134A8E" w:rsidRPr="00134A8E" w:rsidRDefault="00134A8E" w:rsidP="00134A8E">
            <w:pPr>
              <w:spacing w:after="0" w:line="360" w:lineRule="auto"/>
              <w:rPr>
                <w:rFonts w:ascii="Calibri Light" w:eastAsia="Calibri" w:hAnsi="Calibri Light" w:cs="Times New Roman"/>
                <w:noProof/>
                <w:sz w:val="20"/>
                <w:szCs w:val="20"/>
              </w:rPr>
            </w:pPr>
          </w:p>
          <w:p w14:paraId="1CCE5D1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66030173" wp14:editId="1C5B950C">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D6FE39" w14:textId="77777777" w:rsidR="00134A8E" w:rsidRPr="00134A8E" w:rsidRDefault="00134A8E" w:rsidP="00134A8E">
            <w:pPr>
              <w:spacing w:after="0" w:line="360" w:lineRule="auto"/>
              <w:rPr>
                <w:rFonts w:ascii="Calibri Light" w:eastAsia="Calibri" w:hAnsi="Calibri Light" w:cs="Times New Roman"/>
                <w:b/>
                <w:sz w:val="20"/>
                <w:szCs w:val="20"/>
              </w:rPr>
            </w:pPr>
          </w:p>
          <w:p w14:paraId="59E3AD04"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E716A44"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helps you to be prepared for the learning to follow or assist you to demonstrate understanding of module content. Shows transference of knowledge and skill.</w:t>
            </w:r>
          </w:p>
        </w:tc>
      </w:tr>
      <w:tr w:rsidR="00134A8E" w:rsidRPr="00134A8E" w14:paraId="76094C04"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03174708" w14:textId="77777777" w:rsidR="00134A8E" w:rsidRPr="00134A8E" w:rsidRDefault="00134A8E" w:rsidP="00134A8E">
            <w:pPr>
              <w:spacing w:after="0" w:line="360" w:lineRule="auto"/>
              <w:rPr>
                <w:rFonts w:ascii="Calibri Light" w:eastAsia="Calibri" w:hAnsi="Calibri Light" w:cs="Times New Roman"/>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3360" behindDoc="0" locked="0" layoutInCell="1" allowOverlap="1" wp14:anchorId="0071BDB0" wp14:editId="2686B1A0">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CA22C"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2B6488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any exercise to be completed on a specific topic at home by you or in a group.</w:t>
            </w:r>
          </w:p>
        </w:tc>
      </w:tr>
      <w:tr w:rsidR="00134A8E" w:rsidRPr="00134A8E" w14:paraId="3FDA5C69"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5DB621A6"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14:anchorId="185912CE" wp14:editId="2C333959">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35C23C" w14:textId="77777777" w:rsidR="00134A8E" w:rsidRPr="00134A8E" w:rsidRDefault="00134A8E" w:rsidP="00134A8E">
            <w:pPr>
              <w:spacing w:after="0" w:line="360" w:lineRule="auto"/>
              <w:rPr>
                <w:rFonts w:ascii="Calibri Light" w:eastAsia="Calibri" w:hAnsi="Calibri Light" w:cs="Times New Roman"/>
                <w:b/>
                <w:sz w:val="20"/>
                <w:szCs w:val="20"/>
              </w:rPr>
            </w:pPr>
          </w:p>
          <w:p w14:paraId="3C6944F9" w14:textId="77777777" w:rsidR="00134A8E" w:rsidRPr="00134A8E" w:rsidRDefault="00134A8E" w:rsidP="00134A8E">
            <w:pPr>
              <w:spacing w:after="0" w:line="360" w:lineRule="auto"/>
              <w:rPr>
                <w:rFonts w:ascii="Calibri Light" w:eastAsia="Calibri" w:hAnsi="Calibri Light" w:cs="Times New Roman"/>
                <w:b/>
                <w:sz w:val="20"/>
                <w:szCs w:val="20"/>
              </w:rPr>
            </w:pPr>
          </w:p>
          <w:p w14:paraId="2D87E1BF"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Calibri Light" w:eastAsia="Calibri" w:hAnsi="Calibri Light" w:cs="Times New Roman"/>
                <w:b/>
                <w:sz w:val="20"/>
                <w:szCs w:val="20"/>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0EC1555"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the assessment process is proof of competence. This can be achieved by observation or a portfolio of evidence should be submitted in this regard.</w:t>
            </w:r>
          </w:p>
          <w:p w14:paraId="0BFB3985" w14:textId="77777777" w:rsidR="00134A8E" w:rsidRPr="00134A8E" w:rsidRDefault="00134A8E" w:rsidP="00134A8E">
            <w:pPr>
              <w:spacing w:after="0" w:line="360" w:lineRule="auto"/>
              <w:rPr>
                <w:rFonts w:ascii="Calibri Light" w:eastAsia="Calibri" w:hAnsi="Calibri Light" w:cs="Times New Roman"/>
                <w:b/>
                <w:sz w:val="20"/>
                <w:szCs w:val="20"/>
              </w:rPr>
            </w:pPr>
          </w:p>
        </w:tc>
      </w:tr>
      <w:tr w:rsidR="00134A8E" w:rsidRPr="00134A8E" w14:paraId="2DEC04C6"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371811B8"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442BD89F" wp14:editId="61222051">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16C9710"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An important aspect of learning is through workplace experience. Activities with this icon can only be completed once a learner is in the workplace</w:t>
            </w:r>
          </w:p>
        </w:tc>
      </w:tr>
      <w:tr w:rsidR="00134A8E" w:rsidRPr="00134A8E" w14:paraId="3935BDA8"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27FF01A" w14:textId="77777777" w:rsidR="00134A8E" w:rsidRPr="00134A8E" w:rsidRDefault="00134A8E" w:rsidP="00134A8E">
            <w:pPr>
              <w:spacing w:after="0" w:line="360" w:lineRule="auto"/>
              <w:rPr>
                <w:rFonts w:ascii="Calibri Light" w:eastAsia="Calibri" w:hAnsi="Calibri Light" w:cs="Times New Roman"/>
                <w:b/>
                <w:noProof/>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753EAFC5" wp14:editId="00EA0B70">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noProof/>
                <w:sz w:val="20"/>
                <w:szCs w:val="20"/>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12AFCED"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indicates practical tips you can adopt in the future.</w:t>
            </w:r>
          </w:p>
        </w:tc>
      </w:tr>
      <w:tr w:rsidR="00134A8E" w:rsidRPr="00134A8E" w14:paraId="06A12575"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5DB99A4A" w14:textId="77777777" w:rsidR="00134A8E" w:rsidRPr="00134A8E" w:rsidRDefault="00134A8E" w:rsidP="00134A8E">
            <w:pPr>
              <w:spacing w:after="0" w:line="360" w:lineRule="auto"/>
              <w:rPr>
                <w:rFonts w:ascii="Calibri Light" w:eastAsia="Calibri" w:hAnsi="Calibri Light" w:cs="Times New Roman"/>
                <w:sz w:val="20"/>
                <w:szCs w:val="20"/>
              </w:rPr>
            </w:pPr>
            <w:r w:rsidRPr="00134A8E">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2DC56656" wp14:editId="08F3AFE3">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4A8E">
              <w:rPr>
                <w:rFonts w:ascii="Calibri Light" w:eastAsia="Calibri" w:hAnsi="Calibri Light" w:cs="Times New Roman"/>
                <w:b/>
                <w:sz w:val="20"/>
                <w:szCs w:val="20"/>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460F4EE" w14:textId="77777777" w:rsidR="00134A8E" w:rsidRPr="00134A8E" w:rsidRDefault="00134A8E" w:rsidP="00134A8E">
            <w:pPr>
              <w:spacing w:after="0" w:line="360" w:lineRule="auto"/>
              <w:rPr>
                <w:rFonts w:ascii="Calibri Light" w:eastAsia="Calibri" w:hAnsi="Calibri Light" w:cs="Times New Roman"/>
                <w:b/>
                <w:sz w:val="20"/>
                <w:szCs w:val="20"/>
              </w:rPr>
            </w:pPr>
            <w:r w:rsidRPr="00134A8E">
              <w:rPr>
                <w:rFonts w:ascii="Calibri Light" w:eastAsia="Calibri" w:hAnsi="Calibri Light" w:cs="Times New Roman"/>
                <w:b/>
                <w:sz w:val="20"/>
                <w:szCs w:val="20"/>
              </w:rPr>
              <w:t>This icon represents important notes you must remember as part of the learning process.</w:t>
            </w:r>
          </w:p>
        </w:tc>
      </w:tr>
    </w:tbl>
    <w:p w14:paraId="6F26A88E" w14:textId="77777777" w:rsidR="002773C7" w:rsidRDefault="002773C7" w:rsidP="002773C7">
      <w:pPr>
        <w:tabs>
          <w:tab w:val="left" w:pos="5387"/>
        </w:tabs>
        <w:spacing w:after="0" w:line="360" w:lineRule="auto"/>
        <w:rPr>
          <w:rFonts w:ascii="Calibri Light" w:eastAsia="Times New Roman" w:hAnsi="Calibri Light" w:cs="Times New Roman"/>
          <w:b/>
        </w:rPr>
      </w:pPr>
    </w:p>
    <w:p w14:paraId="391D527D" w14:textId="77777777" w:rsidR="002773C7" w:rsidRDefault="002773C7" w:rsidP="004E171F">
      <w:pPr>
        <w:tabs>
          <w:tab w:val="left" w:pos="5387"/>
        </w:tabs>
        <w:spacing w:after="0" w:line="360" w:lineRule="auto"/>
        <w:rPr>
          <w:rFonts w:asciiTheme="majorHAnsi" w:eastAsia="Times New Roman" w:hAnsiTheme="majorHAnsi" w:cstheme="majorHAnsi"/>
          <w:b/>
          <w:sz w:val="24"/>
          <w:szCs w:val="24"/>
        </w:rPr>
      </w:pPr>
    </w:p>
    <w:p w14:paraId="34F2457A"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4D601869"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7A954BBC"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4C875219"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7E656B03"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13C73B71"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D402083"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02C1FDB"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37CEB501"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1002B3CB"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52B83F19"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1597F72"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617AF854"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45958608"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1443CC35"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7FDC4EE" w14:textId="77777777" w:rsid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2D78905D" w14:textId="77777777" w:rsidR="004E171F" w:rsidRPr="004E171F" w:rsidRDefault="004E171F" w:rsidP="004E171F">
      <w:pPr>
        <w:tabs>
          <w:tab w:val="left" w:pos="5387"/>
        </w:tabs>
        <w:spacing w:after="0" w:line="360" w:lineRule="auto"/>
        <w:rPr>
          <w:rFonts w:asciiTheme="majorHAnsi" w:eastAsia="Times New Roman" w:hAnsiTheme="majorHAnsi" w:cstheme="majorHAnsi"/>
          <w:b/>
          <w:sz w:val="24"/>
          <w:szCs w:val="24"/>
        </w:rPr>
      </w:pPr>
    </w:p>
    <w:p w14:paraId="05471894"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2F190108" w14:textId="77777777" w:rsidTr="002773C7">
        <w:tc>
          <w:tcPr>
            <w:tcW w:w="9350" w:type="dxa"/>
            <w:shd w:val="clear" w:color="auto" w:fill="9CC2E5" w:themeFill="accent1" w:themeFillTint="99"/>
          </w:tcPr>
          <w:p w14:paraId="1386A29C"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KM-02-KT01: Learning and development management concepts</w:t>
            </w:r>
          </w:p>
        </w:tc>
      </w:tr>
    </w:tbl>
    <w:p w14:paraId="6D4958E2"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0996E695" w14:textId="77777777" w:rsidTr="002773C7">
        <w:tc>
          <w:tcPr>
            <w:tcW w:w="1345" w:type="dxa"/>
            <w:shd w:val="clear" w:color="auto" w:fill="9CC2E5" w:themeFill="accent1" w:themeFillTint="99"/>
          </w:tcPr>
          <w:p w14:paraId="31E3D328"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KT0101</w:t>
            </w:r>
          </w:p>
        </w:tc>
        <w:tc>
          <w:tcPr>
            <w:tcW w:w="8010" w:type="dxa"/>
          </w:tcPr>
          <w:p w14:paraId="0C288585"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Functions of management (Plan, lead, organise and control)</w:t>
            </w:r>
          </w:p>
        </w:tc>
      </w:tr>
      <w:tr w:rsidR="002773C7" w:rsidRPr="004E171F" w14:paraId="7B8880A9" w14:textId="77777777" w:rsidTr="002773C7">
        <w:tc>
          <w:tcPr>
            <w:tcW w:w="1345" w:type="dxa"/>
            <w:shd w:val="clear" w:color="auto" w:fill="9CC2E5" w:themeFill="accent1" w:themeFillTint="99"/>
          </w:tcPr>
          <w:p w14:paraId="7D189C7F"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KT0102</w:t>
            </w:r>
          </w:p>
        </w:tc>
        <w:tc>
          <w:tcPr>
            <w:tcW w:w="8010" w:type="dxa"/>
          </w:tcPr>
          <w:p w14:paraId="3438A115"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Cost control and budgeting (Principles, processes and procedures)</w:t>
            </w:r>
          </w:p>
        </w:tc>
      </w:tr>
      <w:tr w:rsidR="002773C7" w:rsidRPr="004E171F" w14:paraId="50B4B50A" w14:textId="77777777" w:rsidTr="002773C7">
        <w:tc>
          <w:tcPr>
            <w:tcW w:w="1345" w:type="dxa"/>
            <w:shd w:val="clear" w:color="auto" w:fill="9CC2E5" w:themeFill="accent1" w:themeFillTint="99"/>
          </w:tcPr>
          <w:p w14:paraId="3EBCD206"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KT0103</w:t>
            </w:r>
          </w:p>
        </w:tc>
        <w:tc>
          <w:tcPr>
            <w:tcW w:w="8010" w:type="dxa"/>
          </w:tcPr>
          <w:p w14:paraId="6CD2091E"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Workforce development planning concepts (Job design, Job evaluation, Competency profiles)</w:t>
            </w:r>
          </w:p>
        </w:tc>
      </w:tr>
      <w:tr w:rsidR="002773C7" w:rsidRPr="004E171F" w14:paraId="41F93B22" w14:textId="77777777" w:rsidTr="002773C7">
        <w:tc>
          <w:tcPr>
            <w:tcW w:w="1345" w:type="dxa"/>
            <w:shd w:val="clear" w:color="auto" w:fill="9CC2E5" w:themeFill="accent1" w:themeFillTint="99"/>
          </w:tcPr>
          <w:p w14:paraId="3F922543"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KT0104</w:t>
            </w:r>
          </w:p>
        </w:tc>
        <w:tc>
          <w:tcPr>
            <w:tcW w:w="8010" w:type="dxa"/>
          </w:tcPr>
          <w:p w14:paraId="64AC5301"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Personal development concepts (performance management, talent management, ethics management)</w:t>
            </w:r>
          </w:p>
        </w:tc>
      </w:tr>
      <w:tr w:rsidR="002773C7" w:rsidRPr="004E171F" w14:paraId="73D2F58C" w14:textId="77777777" w:rsidTr="002773C7">
        <w:tc>
          <w:tcPr>
            <w:tcW w:w="1345" w:type="dxa"/>
            <w:shd w:val="clear" w:color="auto" w:fill="9CC2E5" w:themeFill="accent1" w:themeFillTint="99"/>
          </w:tcPr>
          <w:p w14:paraId="115E652A"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KT0105</w:t>
            </w:r>
          </w:p>
        </w:tc>
        <w:tc>
          <w:tcPr>
            <w:tcW w:w="8010" w:type="dxa"/>
          </w:tcPr>
          <w:p w14:paraId="6D5BBF9E"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Lifelong learning and continuous professional development concepts</w:t>
            </w:r>
          </w:p>
        </w:tc>
      </w:tr>
    </w:tbl>
    <w:p w14:paraId="7F230473" w14:textId="77777777" w:rsidR="002773C7" w:rsidRPr="004E171F" w:rsidRDefault="002773C7" w:rsidP="004E171F">
      <w:pPr>
        <w:spacing w:line="360" w:lineRule="auto"/>
        <w:rPr>
          <w:rFonts w:asciiTheme="majorHAnsi" w:hAnsiTheme="majorHAnsi" w:cstheme="majorHAnsi"/>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1075"/>
      </w:tblGrid>
      <w:tr w:rsidR="00BB2492" w:rsidRPr="00BC7A4A" w14:paraId="1B257924" w14:textId="77777777" w:rsidTr="00C52F35">
        <w:tc>
          <w:tcPr>
            <w:tcW w:w="895" w:type="dxa"/>
            <w:shd w:val="clear" w:color="auto" w:fill="9CC2E5" w:themeFill="accent1" w:themeFillTint="99"/>
          </w:tcPr>
          <w:p w14:paraId="7D6EB512" w14:textId="77777777" w:rsidR="00BB2492" w:rsidRPr="00BC7A4A" w:rsidRDefault="00BB2492" w:rsidP="00C52F3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B2492" w:rsidRPr="00BC7A4A" w14:paraId="61425B0D" w14:textId="77777777" w:rsidTr="00C52F35">
        <w:tc>
          <w:tcPr>
            <w:tcW w:w="895" w:type="dxa"/>
          </w:tcPr>
          <w:p w14:paraId="07A50876" w14:textId="77777777" w:rsidR="00BB2492" w:rsidRPr="00BC7A4A" w:rsidRDefault="00BB2492" w:rsidP="00C52F3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1</w:t>
            </w:r>
          </w:p>
        </w:tc>
      </w:tr>
    </w:tbl>
    <w:p w14:paraId="49ABE6CD" w14:textId="3ADBA7C3" w:rsidR="002773C7" w:rsidRPr="004E171F" w:rsidRDefault="00C52F35" w:rsidP="004E171F">
      <w:pPr>
        <w:spacing w:line="360" w:lineRule="auto"/>
        <w:rPr>
          <w:rFonts w:asciiTheme="majorHAnsi" w:hAnsiTheme="majorHAnsi" w:cstheme="majorHAnsi"/>
          <w:sz w:val="24"/>
          <w:szCs w:val="24"/>
        </w:rPr>
      </w:pPr>
      <w:r>
        <w:rPr>
          <w:rFonts w:asciiTheme="majorHAnsi" w:hAnsiTheme="majorHAnsi" w:cstheme="majorHAnsi"/>
          <w:sz w:val="24"/>
          <w:szCs w:val="24"/>
        </w:rPr>
        <w:br w:type="textWrapping" w:clear="all"/>
      </w:r>
    </w:p>
    <w:p w14:paraId="62C22195" w14:textId="07D2D9E9" w:rsidR="002773C7" w:rsidRPr="00C52F35" w:rsidRDefault="00C52F35" w:rsidP="004E171F">
      <w:pPr>
        <w:spacing w:line="360" w:lineRule="auto"/>
        <w:rPr>
          <w:rFonts w:asciiTheme="majorHAnsi" w:hAnsiTheme="majorHAnsi" w:cstheme="majorHAnsi"/>
          <w:b/>
          <w:sz w:val="24"/>
          <w:szCs w:val="24"/>
        </w:rPr>
      </w:pPr>
      <w:r w:rsidRPr="00C52F35">
        <w:rPr>
          <w:rFonts w:asciiTheme="majorHAnsi" w:hAnsiTheme="majorHAnsi" w:cstheme="majorHAnsi"/>
          <w:b/>
          <w:sz w:val="24"/>
          <w:szCs w:val="24"/>
        </w:rPr>
        <w:t xml:space="preserve">Explain the typical </w:t>
      </w:r>
      <w:r w:rsidRPr="00C52F35">
        <w:rPr>
          <w:rFonts w:cstheme="majorHAnsi"/>
          <w:b/>
        </w:rPr>
        <w:t>steps in the budgeting and cost control procedure</w:t>
      </w:r>
    </w:p>
    <w:p w14:paraId="4C8F4C89" w14:textId="77777777" w:rsidR="002773C7" w:rsidRPr="004E171F" w:rsidRDefault="002773C7" w:rsidP="004E171F">
      <w:pPr>
        <w:spacing w:line="360" w:lineRule="auto"/>
        <w:rPr>
          <w:rFonts w:asciiTheme="majorHAnsi" w:hAnsiTheme="majorHAnsi" w:cstheme="majorHAnsi"/>
          <w:sz w:val="24"/>
          <w:szCs w:val="24"/>
        </w:rPr>
      </w:pPr>
    </w:p>
    <w:p w14:paraId="307803D4" w14:textId="6D66C83D" w:rsidR="002773C7" w:rsidRPr="00C52F35" w:rsidRDefault="00C52F35" w:rsidP="004E171F">
      <w:pPr>
        <w:spacing w:line="360" w:lineRule="auto"/>
        <w:rPr>
          <w:rFonts w:asciiTheme="majorHAnsi" w:hAnsiTheme="majorHAnsi" w:cstheme="majorHAnsi"/>
          <w:color w:val="FF0000"/>
          <w:sz w:val="24"/>
          <w:szCs w:val="24"/>
        </w:rPr>
      </w:pPr>
      <w:r w:rsidRPr="00C52F35">
        <w:rPr>
          <w:rFonts w:cstheme="majorHAnsi"/>
          <w:noProof/>
          <w:color w:val="FF0000"/>
        </w:rPr>
        <w:drawing>
          <wp:inline distT="0" distB="0" distL="0" distR="0" wp14:anchorId="1B1CCC97" wp14:editId="3AE17D38">
            <wp:extent cx="5768975" cy="2057400"/>
            <wp:effectExtent l="0" t="0" r="0" b="0"/>
            <wp:docPr id="24" name="Picture 24" descr="udgeting and cost contro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dgeting and cost control proced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8975" cy="2057400"/>
                    </a:xfrm>
                    <a:prstGeom prst="rect">
                      <a:avLst/>
                    </a:prstGeom>
                    <a:noFill/>
                    <a:ln>
                      <a:noFill/>
                    </a:ln>
                  </pic:spPr>
                </pic:pic>
              </a:graphicData>
            </a:graphic>
          </wp:inline>
        </w:drawing>
      </w:r>
    </w:p>
    <w:p w14:paraId="030FFD4B" w14:textId="77777777" w:rsidR="00C52F35" w:rsidRPr="00C52F35" w:rsidRDefault="00C52F35" w:rsidP="00C52F35">
      <w:pPr>
        <w:spacing w:line="360" w:lineRule="auto"/>
        <w:jc w:val="both"/>
        <w:rPr>
          <w:rFonts w:cstheme="majorHAnsi"/>
          <w:color w:val="FF0000"/>
        </w:rPr>
      </w:pPr>
      <w:r w:rsidRPr="00C52F35">
        <w:rPr>
          <w:rFonts w:cstheme="majorHAnsi"/>
          <w:color w:val="FF0000"/>
        </w:rPr>
        <w:t>A budget identifies the planned expenditure for a project, programme or portfolio. It forms the baseline against which the actual expenditure and predicted eventual cost of the work is reported. </w:t>
      </w:r>
    </w:p>
    <w:p w14:paraId="1774E1E4" w14:textId="77777777" w:rsidR="00C52F35" w:rsidRPr="00C52F35" w:rsidRDefault="00C52F35" w:rsidP="00C52F35">
      <w:pPr>
        <w:spacing w:line="360" w:lineRule="auto"/>
        <w:jc w:val="both"/>
        <w:rPr>
          <w:rFonts w:cstheme="majorHAnsi"/>
          <w:color w:val="FF0000"/>
        </w:rPr>
      </w:pPr>
      <w:r w:rsidRPr="00C52F35">
        <w:rPr>
          <w:rFonts w:cstheme="majorHAnsi"/>
          <w:color w:val="FF0000"/>
        </w:rPr>
        <w:t>Initial cost estimates are based on comparative or parametric estimating techniques. These are refined as the achievability and desirability of the work are investigated and a detailed understanding of scope, schedule and resource is developed.</w:t>
      </w:r>
    </w:p>
    <w:p w14:paraId="7A0AB1C8" w14:textId="77777777" w:rsidR="00C52F35" w:rsidRPr="00C52F35" w:rsidRDefault="00C52F35" w:rsidP="00C52F35">
      <w:pPr>
        <w:spacing w:line="360" w:lineRule="auto"/>
        <w:jc w:val="both"/>
        <w:rPr>
          <w:rFonts w:cstheme="majorHAnsi"/>
          <w:color w:val="FF0000"/>
        </w:rPr>
      </w:pPr>
      <w:r w:rsidRPr="00C52F35">
        <w:rPr>
          <w:rFonts w:cstheme="majorHAnsi"/>
          <w:color w:val="FF0000"/>
        </w:rPr>
        <w:t>The base cost is the cost of the work according to the schedule. This is typically made up from costs associated with:</w:t>
      </w:r>
    </w:p>
    <w:p w14:paraId="07534137" w14:textId="77777777" w:rsidR="00C52F35" w:rsidRPr="00C52F35" w:rsidRDefault="00C52F35" w:rsidP="00C52F35">
      <w:pPr>
        <w:pStyle w:val="ListParagraph"/>
        <w:numPr>
          <w:ilvl w:val="0"/>
          <w:numId w:val="11"/>
        </w:numPr>
        <w:spacing w:after="0" w:line="360" w:lineRule="auto"/>
        <w:jc w:val="both"/>
        <w:rPr>
          <w:rFonts w:cstheme="majorHAnsi"/>
          <w:color w:val="FF0000"/>
        </w:rPr>
      </w:pPr>
      <w:r w:rsidRPr="00C52F35">
        <w:rPr>
          <w:rFonts w:cstheme="majorHAnsi"/>
          <w:color w:val="FF0000"/>
        </w:rPr>
        <w:t>resources such as staff or contractors;</w:t>
      </w:r>
    </w:p>
    <w:p w14:paraId="1FF9A2B0" w14:textId="77777777" w:rsidR="00C52F35" w:rsidRPr="00C52F35" w:rsidRDefault="00C52F35" w:rsidP="00C52F35">
      <w:pPr>
        <w:pStyle w:val="ListParagraph"/>
        <w:numPr>
          <w:ilvl w:val="0"/>
          <w:numId w:val="11"/>
        </w:numPr>
        <w:spacing w:after="0" w:line="360" w:lineRule="auto"/>
        <w:jc w:val="both"/>
        <w:rPr>
          <w:rFonts w:cstheme="majorHAnsi"/>
          <w:color w:val="FF0000"/>
        </w:rPr>
      </w:pPr>
      <w:r w:rsidRPr="00C52F35">
        <w:rPr>
          <w:rFonts w:cstheme="majorHAnsi"/>
          <w:color w:val="FF0000"/>
        </w:rPr>
        <w:t>accommodation and infrastructure such as office rental or support for ICT systems;</w:t>
      </w:r>
    </w:p>
    <w:p w14:paraId="46E30D42" w14:textId="77777777" w:rsidR="00C52F35" w:rsidRPr="00C52F35" w:rsidRDefault="00C52F35" w:rsidP="00C52F35">
      <w:pPr>
        <w:pStyle w:val="ListParagraph"/>
        <w:numPr>
          <w:ilvl w:val="0"/>
          <w:numId w:val="11"/>
        </w:numPr>
        <w:spacing w:after="0" w:line="360" w:lineRule="auto"/>
        <w:jc w:val="both"/>
        <w:rPr>
          <w:rFonts w:cstheme="majorHAnsi"/>
          <w:color w:val="FF0000"/>
        </w:rPr>
      </w:pPr>
      <w:r w:rsidRPr="00C52F35">
        <w:rPr>
          <w:rFonts w:cstheme="majorHAnsi"/>
          <w:color w:val="FF0000"/>
        </w:rPr>
        <w:t>consumables such as power or stationery;</w:t>
      </w:r>
    </w:p>
    <w:p w14:paraId="0F807638" w14:textId="77777777" w:rsidR="00C52F35" w:rsidRPr="00C52F35" w:rsidRDefault="00C52F35" w:rsidP="00C52F35">
      <w:pPr>
        <w:pStyle w:val="ListParagraph"/>
        <w:numPr>
          <w:ilvl w:val="0"/>
          <w:numId w:val="11"/>
        </w:numPr>
        <w:spacing w:after="0" w:line="360" w:lineRule="auto"/>
        <w:jc w:val="both"/>
        <w:rPr>
          <w:rFonts w:cstheme="majorHAnsi"/>
          <w:color w:val="FF0000"/>
        </w:rPr>
      </w:pPr>
      <w:r w:rsidRPr="00C52F35">
        <w:rPr>
          <w:rFonts w:cstheme="majorHAnsi"/>
          <w:color w:val="FF0000"/>
        </w:rPr>
        <w:t>expenses such as staff travel and subsistence;</w:t>
      </w:r>
    </w:p>
    <w:p w14:paraId="4E4402A2" w14:textId="77777777" w:rsidR="00C52F35" w:rsidRPr="00C52F35" w:rsidRDefault="00C52F35" w:rsidP="00C52F35">
      <w:pPr>
        <w:pStyle w:val="ListParagraph"/>
        <w:numPr>
          <w:ilvl w:val="0"/>
          <w:numId w:val="11"/>
        </w:numPr>
        <w:spacing w:after="0" w:line="360" w:lineRule="auto"/>
        <w:jc w:val="both"/>
        <w:rPr>
          <w:rFonts w:cstheme="majorHAnsi"/>
          <w:color w:val="FF0000"/>
        </w:rPr>
      </w:pPr>
      <w:r w:rsidRPr="00C52F35">
        <w:rPr>
          <w:rFonts w:cstheme="majorHAnsi"/>
          <w:color w:val="FF0000"/>
        </w:rPr>
        <w:t>capital items such as equipment purchase.</w:t>
      </w:r>
    </w:p>
    <w:p w14:paraId="2225D4D9" w14:textId="77777777" w:rsidR="00C52F35" w:rsidRPr="00C52F35" w:rsidRDefault="00C52F35" w:rsidP="00C52F35">
      <w:pPr>
        <w:spacing w:line="360" w:lineRule="auto"/>
        <w:jc w:val="both"/>
        <w:rPr>
          <w:rFonts w:cstheme="majorHAnsi"/>
          <w:color w:val="FF0000"/>
        </w:rPr>
      </w:pPr>
      <w:r w:rsidRPr="00C52F35">
        <w:rPr>
          <w:rFonts w:cstheme="majorHAnsi"/>
          <w:color w:val="FF0000"/>
        </w:rPr>
        <w:t>These base costs have two pairs of possible attributes:</w:t>
      </w:r>
    </w:p>
    <w:p w14:paraId="20635410" w14:textId="77777777" w:rsidR="00C52F35" w:rsidRPr="00C52F35" w:rsidRDefault="00C52F35" w:rsidP="00C52F35">
      <w:pPr>
        <w:pStyle w:val="ListParagraph"/>
        <w:numPr>
          <w:ilvl w:val="0"/>
          <w:numId w:val="12"/>
        </w:numPr>
        <w:spacing w:after="0" w:line="360" w:lineRule="auto"/>
        <w:jc w:val="both"/>
        <w:rPr>
          <w:rFonts w:cstheme="majorHAnsi"/>
          <w:color w:val="FF0000"/>
        </w:rPr>
      </w:pPr>
      <w:r w:rsidRPr="00C52F35">
        <w:rPr>
          <w:rFonts w:cstheme="majorHAnsi"/>
          <w:b/>
          <w:bCs/>
          <w:color w:val="FF0000"/>
        </w:rPr>
        <w:t>Direct and indirect:</w:t>
      </w:r>
      <w:r w:rsidRPr="00C52F35">
        <w:rPr>
          <w:rFonts w:cstheme="majorHAnsi"/>
          <w:color w:val="FF0000"/>
        </w:rPr>
        <w:t> costs that are directly attributable to the project, programme or portfolio are direct costs, whereas overheads shared with other parts of the host organization are indirect.</w:t>
      </w:r>
    </w:p>
    <w:p w14:paraId="1D9CAB61" w14:textId="77777777" w:rsidR="00C52F35" w:rsidRPr="00C52F35" w:rsidRDefault="00C52F35" w:rsidP="00C52F35">
      <w:pPr>
        <w:pStyle w:val="ListParagraph"/>
        <w:numPr>
          <w:ilvl w:val="0"/>
          <w:numId w:val="12"/>
        </w:numPr>
        <w:spacing w:after="0" w:line="360" w:lineRule="auto"/>
        <w:jc w:val="both"/>
        <w:rPr>
          <w:rFonts w:cstheme="majorHAnsi"/>
          <w:color w:val="FF0000"/>
        </w:rPr>
      </w:pPr>
      <w:r w:rsidRPr="00C52F35">
        <w:rPr>
          <w:rFonts w:cstheme="majorHAnsi"/>
          <w:b/>
          <w:bCs/>
          <w:color w:val="FF0000"/>
        </w:rPr>
        <w:t>Fixed and variable:</w:t>
      </w:r>
      <w:r w:rsidRPr="00C52F35">
        <w:rPr>
          <w:rFonts w:cstheme="majorHAnsi"/>
          <w:color w:val="FF0000"/>
        </w:rPr>
        <w:t> fixed costs remain the same regardless of how the work proceeds, e.g. capital costs. Variable costs fluctuate with the amount used, e.g. salaries, fees etc.</w:t>
      </w:r>
    </w:p>
    <w:p w14:paraId="1E67593E" w14:textId="77777777" w:rsidR="00C52F35" w:rsidRPr="00C52F35" w:rsidRDefault="00C52F35" w:rsidP="00C52F35">
      <w:pPr>
        <w:spacing w:line="360" w:lineRule="auto"/>
        <w:jc w:val="both"/>
        <w:rPr>
          <w:rFonts w:cstheme="majorHAnsi"/>
          <w:color w:val="FF0000"/>
        </w:rPr>
      </w:pPr>
      <w:r w:rsidRPr="00C52F35">
        <w:rPr>
          <w:rFonts w:cstheme="majorHAnsi"/>
          <w:color w:val="FF0000"/>
        </w:rPr>
        <w:t>Any cost will be a combination of attributes from these pairs, e.g. variable direct costs or fixed indirect costs. </w:t>
      </w:r>
    </w:p>
    <w:p w14:paraId="0737B09D" w14:textId="7DD7716B" w:rsidR="002773C7" w:rsidRPr="004E171F" w:rsidRDefault="00C52F35" w:rsidP="00C52F35">
      <w:pPr>
        <w:spacing w:line="360" w:lineRule="auto"/>
        <w:rPr>
          <w:rFonts w:asciiTheme="majorHAnsi" w:hAnsiTheme="majorHAnsi" w:cstheme="majorHAnsi"/>
          <w:sz w:val="24"/>
          <w:szCs w:val="24"/>
        </w:rPr>
      </w:pPr>
      <w:r w:rsidRPr="005203BC">
        <w:rPr>
          <w:rFonts w:cstheme="majorHAnsi"/>
        </w:rPr>
        <w:br/>
      </w:r>
    </w:p>
    <w:p w14:paraId="7E7F2D48"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6FF91079" w14:textId="39844A1E" w:rsidR="000C01FF" w:rsidRDefault="000C01FF">
      <w:pPr>
        <w:rPr>
          <w:rFonts w:asciiTheme="majorHAnsi" w:eastAsia="Times New Roman" w:hAnsiTheme="majorHAnsi" w:cstheme="majorHAnsi"/>
          <w:b/>
          <w:sz w:val="24"/>
          <w:szCs w:val="24"/>
        </w:rPr>
      </w:pPr>
      <w:r>
        <w:rPr>
          <w:rFonts w:asciiTheme="majorHAnsi" w:eastAsia="Times New Roman" w:hAnsiTheme="majorHAnsi" w:cstheme="majorHAnsi"/>
          <w:b/>
          <w:sz w:val="24"/>
          <w:szCs w:val="24"/>
        </w:rPr>
        <w:br w:type="page"/>
      </w:r>
    </w:p>
    <w:p w14:paraId="231C3186"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4FE2DF9B" w14:textId="77777777" w:rsidTr="00144453">
        <w:tc>
          <w:tcPr>
            <w:tcW w:w="9350" w:type="dxa"/>
            <w:shd w:val="clear" w:color="auto" w:fill="9CC2E5" w:themeFill="accent1" w:themeFillTint="99"/>
          </w:tcPr>
          <w:p w14:paraId="40F9F2C2"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KM-02-KT02: Learning and development intervention planning and co-ordination</w:t>
            </w:r>
          </w:p>
        </w:tc>
      </w:tr>
    </w:tbl>
    <w:p w14:paraId="4DA92310"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5D482F95" w14:textId="77777777" w:rsidTr="00144453">
        <w:tc>
          <w:tcPr>
            <w:tcW w:w="1345" w:type="dxa"/>
            <w:shd w:val="clear" w:color="auto" w:fill="9CC2E5" w:themeFill="accent1" w:themeFillTint="99"/>
          </w:tcPr>
          <w:p w14:paraId="6CB2E9E9"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KT0201</w:t>
            </w:r>
          </w:p>
        </w:tc>
        <w:tc>
          <w:tcPr>
            <w:tcW w:w="8010" w:type="dxa"/>
          </w:tcPr>
          <w:p w14:paraId="26C48C54"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Intervention planning and coordination concepts (planning, designing, administering and co-ordinating of an intervention pertaining to logistics, intervention costs, venues)</w:t>
            </w:r>
          </w:p>
        </w:tc>
      </w:tr>
    </w:tbl>
    <w:p w14:paraId="64C68383"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B2492" w:rsidRPr="00BC7A4A" w14:paraId="38D31D2E" w14:textId="77777777" w:rsidTr="00666DD5">
        <w:tc>
          <w:tcPr>
            <w:tcW w:w="895" w:type="dxa"/>
            <w:shd w:val="clear" w:color="auto" w:fill="9CC2E5" w:themeFill="accent1" w:themeFillTint="99"/>
          </w:tcPr>
          <w:p w14:paraId="2EB0344C" w14:textId="77777777" w:rsidR="00BB2492" w:rsidRPr="00BC7A4A" w:rsidRDefault="00BB2492"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B2492" w:rsidRPr="00BC7A4A" w14:paraId="796B2365" w14:textId="77777777" w:rsidTr="00666DD5">
        <w:tc>
          <w:tcPr>
            <w:tcW w:w="895" w:type="dxa"/>
          </w:tcPr>
          <w:p w14:paraId="161331D3" w14:textId="77777777" w:rsidR="00BB2492" w:rsidRPr="00BC7A4A" w:rsidRDefault="00BB2492" w:rsidP="00666DD5">
            <w:pPr>
              <w:spacing w:line="360" w:lineRule="auto"/>
              <w:rPr>
                <w:rFonts w:asciiTheme="majorHAnsi" w:hAnsiTheme="majorHAnsi" w:cstheme="majorHAnsi"/>
                <w:b/>
                <w:sz w:val="24"/>
                <w:szCs w:val="24"/>
              </w:rPr>
            </w:pPr>
            <w:r>
              <w:rPr>
                <w:rFonts w:asciiTheme="majorHAnsi" w:hAnsiTheme="majorHAnsi" w:cstheme="majorHAnsi"/>
                <w:b/>
                <w:sz w:val="24"/>
                <w:szCs w:val="24"/>
              </w:rPr>
              <w:t>2</w:t>
            </w:r>
          </w:p>
        </w:tc>
      </w:tr>
    </w:tbl>
    <w:p w14:paraId="0BA4A63E" w14:textId="77777777" w:rsidR="000C01FF" w:rsidRDefault="000C01FF" w:rsidP="004E171F">
      <w:pPr>
        <w:spacing w:line="360" w:lineRule="auto"/>
        <w:rPr>
          <w:rFonts w:asciiTheme="majorHAnsi" w:hAnsiTheme="majorHAnsi" w:cstheme="majorHAnsi"/>
          <w:sz w:val="24"/>
          <w:szCs w:val="24"/>
        </w:rPr>
      </w:pPr>
    </w:p>
    <w:p w14:paraId="52327C07" w14:textId="77777777" w:rsidR="000C01FF" w:rsidRDefault="000C01FF" w:rsidP="004E171F">
      <w:pPr>
        <w:spacing w:line="360" w:lineRule="auto"/>
        <w:rPr>
          <w:rFonts w:asciiTheme="majorHAnsi" w:hAnsiTheme="majorHAnsi" w:cstheme="majorHAnsi"/>
          <w:b/>
          <w:sz w:val="24"/>
          <w:szCs w:val="24"/>
        </w:rPr>
      </w:pPr>
      <w:r w:rsidRPr="000C01FF">
        <w:rPr>
          <w:rFonts w:asciiTheme="majorHAnsi" w:hAnsiTheme="majorHAnsi" w:cstheme="majorHAnsi"/>
          <w:b/>
          <w:sz w:val="24"/>
          <w:szCs w:val="24"/>
        </w:rPr>
        <w:t>Define ‘invention’.</w:t>
      </w:r>
    </w:p>
    <w:p w14:paraId="538F5EDB" w14:textId="77777777" w:rsidR="000C01FF" w:rsidRPr="000C01FF" w:rsidRDefault="000C01FF" w:rsidP="000C01FF">
      <w:pPr>
        <w:spacing w:line="360" w:lineRule="auto"/>
        <w:jc w:val="both"/>
        <w:rPr>
          <w:rFonts w:cstheme="majorHAnsi"/>
          <w:color w:val="FF0000"/>
        </w:rPr>
      </w:pPr>
      <w:r w:rsidRPr="000C01FF">
        <w:rPr>
          <w:rFonts w:cstheme="majorHAnsi"/>
          <w:b/>
          <w:color w:val="FF0000"/>
        </w:rPr>
        <w:t>Intervention:</w:t>
      </w:r>
      <w:r w:rsidRPr="000C01FF">
        <w:rPr>
          <w:rFonts w:cstheme="majorHAnsi"/>
          <w:color w:val="FF0000"/>
        </w:rPr>
        <w:t xml:space="preserve"> A specific set of activities and accompanying materials developed to prevent youth violence and the factors that contribute to it. For example, a school may implement a curriculum and role-playing activities to help students develop conflict-resolution skills. </w:t>
      </w:r>
    </w:p>
    <w:p w14:paraId="1E39DF4A" w14:textId="75CCF992" w:rsidR="002773C7" w:rsidRPr="000C01FF" w:rsidRDefault="002773C7" w:rsidP="004E171F">
      <w:pPr>
        <w:spacing w:line="360" w:lineRule="auto"/>
        <w:rPr>
          <w:rFonts w:asciiTheme="majorHAnsi" w:eastAsia="Times New Roman" w:hAnsiTheme="majorHAnsi" w:cstheme="majorHAnsi"/>
          <w:b/>
          <w:color w:val="FF0000"/>
          <w:sz w:val="24"/>
          <w:szCs w:val="24"/>
        </w:rPr>
      </w:pPr>
      <w:r w:rsidRPr="000C01FF">
        <w:rPr>
          <w:rFonts w:asciiTheme="majorHAnsi" w:eastAsia="Times New Roman" w:hAnsiTheme="majorHAnsi" w:cstheme="majorHAnsi"/>
          <w:b/>
          <w:color w:val="FF0000"/>
          <w:sz w:val="24"/>
          <w:szCs w:val="24"/>
        </w:rPr>
        <w:br w:type="page"/>
      </w:r>
    </w:p>
    <w:p w14:paraId="2D37EEA1"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55CA5AAC"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1BE3386E" w14:textId="77777777" w:rsidTr="00144453">
        <w:tc>
          <w:tcPr>
            <w:tcW w:w="9350" w:type="dxa"/>
            <w:shd w:val="clear" w:color="auto" w:fill="9CC2E5" w:themeFill="accent1" w:themeFillTint="99"/>
          </w:tcPr>
          <w:p w14:paraId="4F055D90"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KM-02-KT03: Learning and development quality management concepts</w:t>
            </w:r>
          </w:p>
        </w:tc>
      </w:tr>
    </w:tbl>
    <w:p w14:paraId="76F882A3"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6119138D" w14:textId="77777777" w:rsidTr="00144453">
        <w:tc>
          <w:tcPr>
            <w:tcW w:w="1345" w:type="dxa"/>
            <w:shd w:val="clear" w:color="auto" w:fill="9CC2E5" w:themeFill="accent1" w:themeFillTint="99"/>
          </w:tcPr>
          <w:p w14:paraId="36B8ADA3"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KT0301</w:t>
            </w:r>
          </w:p>
        </w:tc>
        <w:tc>
          <w:tcPr>
            <w:tcW w:w="8010" w:type="dxa"/>
          </w:tcPr>
          <w:p w14:paraId="65EA1AF5"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Quality assurance in a learning and development environment</w:t>
            </w:r>
          </w:p>
        </w:tc>
      </w:tr>
      <w:tr w:rsidR="002773C7" w:rsidRPr="004E171F" w14:paraId="1D64E70A" w14:textId="77777777" w:rsidTr="00144453">
        <w:tc>
          <w:tcPr>
            <w:tcW w:w="1345" w:type="dxa"/>
            <w:shd w:val="clear" w:color="auto" w:fill="9CC2E5" w:themeFill="accent1" w:themeFillTint="99"/>
          </w:tcPr>
          <w:p w14:paraId="1A0FED4E"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KT0302</w:t>
            </w:r>
          </w:p>
        </w:tc>
        <w:tc>
          <w:tcPr>
            <w:tcW w:w="8010" w:type="dxa"/>
          </w:tcPr>
          <w:p w14:paraId="700F7E15"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Quality control, compliance, implementation and evaluation</w:t>
            </w:r>
          </w:p>
        </w:tc>
      </w:tr>
      <w:tr w:rsidR="002773C7" w:rsidRPr="004E171F" w14:paraId="39259BAD" w14:textId="77777777" w:rsidTr="00144453">
        <w:tc>
          <w:tcPr>
            <w:tcW w:w="1345" w:type="dxa"/>
            <w:shd w:val="clear" w:color="auto" w:fill="9CC2E5" w:themeFill="accent1" w:themeFillTint="99"/>
          </w:tcPr>
          <w:p w14:paraId="43002467"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KT0303</w:t>
            </w:r>
          </w:p>
        </w:tc>
        <w:tc>
          <w:tcPr>
            <w:tcW w:w="8010" w:type="dxa"/>
          </w:tcPr>
          <w:p w14:paraId="77815EFA"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Quality review</w:t>
            </w:r>
          </w:p>
        </w:tc>
      </w:tr>
      <w:tr w:rsidR="002773C7" w:rsidRPr="004E171F" w14:paraId="3D70C2F5" w14:textId="77777777" w:rsidTr="00144453">
        <w:tc>
          <w:tcPr>
            <w:tcW w:w="1345" w:type="dxa"/>
            <w:shd w:val="clear" w:color="auto" w:fill="9CC2E5" w:themeFill="accent1" w:themeFillTint="99"/>
          </w:tcPr>
          <w:p w14:paraId="72D20340"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KT0304</w:t>
            </w:r>
          </w:p>
        </w:tc>
        <w:tc>
          <w:tcPr>
            <w:tcW w:w="8010" w:type="dxa"/>
          </w:tcPr>
          <w:p w14:paraId="7DD3B26C"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Best practice standards (Learning and Development and Workplace)</w:t>
            </w:r>
          </w:p>
        </w:tc>
      </w:tr>
    </w:tbl>
    <w:p w14:paraId="1405BE7C"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B2492" w:rsidRPr="00BC7A4A" w14:paraId="55C1D0A3" w14:textId="77777777" w:rsidTr="00666DD5">
        <w:tc>
          <w:tcPr>
            <w:tcW w:w="895" w:type="dxa"/>
            <w:shd w:val="clear" w:color="auto" w:fill="9CC2E5" w:themeFill="accent1" w:themeFillTint="99"/>
          </w:tcPr>
          <w:p w14:paraId="3B6967D9" w14:textId="77777777" w:rsidR="00BB2492" w:rsidRPr="00BC7A4A" w:rsidRDefault="00BB2492"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B2492" w:rsidRPr="00BC7A4A" w14:paraId="1FC858C1" w14:textId="77777777" w:rsidTr="00666DD5">
        <w:tc>
          <w:tcPr>
            <w:tcW w:w="895" w:type="dxa"/>
          </w:tcPr>
          <w:p w14:paraId="076DF122" w14:textId="77777777" w:rsidR="00BB2492" w:rsidRPr="00BC7A4A" w:rsidRDefault="00BB2492" w:rsidP="00666DD5">
            <w:pPr>
              <w:spacing w:line="360" w:lineRule="auto"/>
              <w:rPr>
                <w:rFonts w:asciiTheme="majorHAnsi" w:hAnsiTheme="majorHAnsi" w:cstheme="majorHAnsi"/>
                <w:b/>
                <w:sz w:val="24"/>
                <w:szCs w:val="24"/>
              </w:rPr>
            </w:pPr>
            <w:r>
              <w:rPr>
                <w:rFonts w:asciiTheme="majorHAnsi" w:hAnsiTheme="majorHAnsi" w:cstheme="majorHAnsi"/>
                <w:b/>
                <w:sz w:val="24"/>
                <w:szCs w:val="24"/>
              </w:rPr>
              <w:t>3</w:t>
            </w:r>
          </w:p>
        </w:tc>
      </w:tr>
    </w:tbl>
    <w:p w14:paraId="135150EE" w14:textId="77777777" w:rsidR="00AC496A" w:rsidRDefault="00AC496A" w:rsidP="004E171F">
      <w:pPr>
        <w:spacing w:line="360" w:lineRule="auto"/>
        <w:rPr>
          <w:rFonts w:asciiTheme="majorHAnsi" w:hAnsiTheme="majorHAnsi" w:cstheme="majorHAnsi"/>
          <w:sz w:val="24"/>
          <w:szCs w:val="24"/>
        </w:rPr>
      </w:pPr>
    </w:p>
    <w:p w14:paraId="319A8577" w14:textId="77777777" w:rsidR="00AC496A" w:rsidRPr="006F4DE6" w:rsidRDefault="00AC496A" w:rsidP="00AC496A">
      <w:pPr>
        <w:spacing w:line="360" w:lineRule="auto"/>
        <w:jc w:val="both"/>
        <w:rPr>
          <w:rFonts w:cstheme="majorHAnsi"/>
          <w:b/>
        </w:rPr>
      </w:pPr>
      <w:r w:rsidRPr="006F4DE6">
        <w:rPr>
          <w:rFonts w:cstheme="majorHAnsi"/>
          <w:b/>
        </w:rPr>
        <w:t>Define the Budget Impacts of QA</w:t>
      </w:r>
    </w:p>
    <w:p w14:paraId="43ACEFFB" w14:textId="77777777" w:rsidR="00AC496A" w:rsidRPr="00AC496A" w:rsidRDefault="00AC496A" w:rsidP="00AC496A">
      <w:pPr>
        <w:spacing w:line="360" w:lineRule="auto"/>
        <w:jc w:val="both"/>
        <w:rPr>
          <w:rFonts w:cstheme="majorHAnsi"/>
          <w:color w:val="FF0000"/>
        </w:rPr>
      </w:pPr>
      <w:r w:rsidRPr="00AC496A">
        <w:rPr>
          <w:rFonts w:cstheme="majorHAnsi"/>
          <w:color w:val="FF0000"/>
        </w:rPr>
        <w:t>Instituting a QA process doesn't necessarily have to be expensive, but invariably there will be a cost of time and resources. The gold standard is to have a team of dedicated QA specialists (which is a selling point in the case for learning consulting), but it's possible to operate effectively with a quality assurance process that relies on borrowing personnel from elsewhere in the L&amp;D organization. Whichever arrangement is selected, learning leaders should realistically plan for the scheduling and cost implications of QA before launching the quality effort. Resource allocation needs to be an integral part of the process, not an afterthought.</w:t>
      </w:r>
    </w:p>
    <w:p w14:paraId="6401AED1" w14:textId="77777777" w:rsidR="002773C7" w:rsidRPr="004E171F" w:rsidRDefault="002773C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br w:type="page"/>
      </w:r>
    </w:p>
    <w:p w14:paraId="2F9C6570"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1DEC478A"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56C39E5D" w14:textId="77777777" w:rsidTr="00144453">
        <w:tc>
          <w:tcPr>
            <w:tcW w:w="9350" w:type="dxa"/>
            <w:shd w:val="clear" w:color="auto" w:fill="9CC2E5" w:themeFill="accent1" w:themeFillTint="99"/>
          </w:tcPr>
          <w:p w14:paraId="0C814869"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KM-02-KT04: Learning and development procurement concepts and practices</w:t>
            </w:r>
          </w:p>
        </w:tc>
      </w:tr>
    </w:tbl>
    <w:p w14:paraId="299F34CC"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27EFC7B8" w14:textId="77777777" w:rsidTr="00144453">
        <w:tc>
          <w:tcPr>
            <w:tcW w:w="1345" w:type="dxa"/>
            <w:shd w:val="clear" w:color="auto" w:fill="9CC2E5" w:themeFill="accent1" w:themeFillTint="99"/>
          </w:tcPr>
          <w:p w14:paraId="5BB935DF"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KT0401</w:t>
            </w:r>
          </w:p>
        </w:tc>
        <w:tc>
          <w:tcPr>
            <w:tcW w:w="8010" w:type="dxa"/>
          </w:tcPr>
          <w:p w14:paraId="6B549BF4"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The process of advertising and sourcing</w:t>
            </w:r>
          </w:p>
        </w:tc>
      </w:tr>
      <w:tr w:rsidR="002773C7" w:rsidRPr="004E171F" w14:paraId="6C0EE36B" w14:textId="77777777" w:rsidTr="00144453">
        <w:tc>
          <w:tcPr>
            <w:tcW w:w="1345" w:type="dxa"/>
            <w:shd w:val="clear" w:color="auto" w:fill="9CC2E5" w:themeFill="accent1" w:themeFillTint="99"/>
          </w:tcPr>
          <w:p w14:paraId="34CD9CDC"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KT0402</w:t>
            </w:r>
          </w:p>
        </w:tc>
        <w:tc>
          <w:tcPr>
            <w:tcW w:w="8010" w:type="dxa"/>
          </w:tcPr>
          <w:p w14:paraId="4F07748B"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Best procurement processes and practices (PFMA, vendor registration and supplier vetting, tendering)</w:t>
            </w:r>
          </w:p>
        </w:tc>
      </w:tr>
      <w:tr w:rsidR="002773C7" w:rsidRPr="004E171F" w14:paraId="5BA9B540" w14:textId="77777777" w:rsidTr="00144453">
        <w:tc>
          <w:tcPr>
            <w:tcW w:w="1345" w:type="dxa"/>
            <w:shd w:val="clear" w:color="auto" w:fill="9CC2E5" w:themeFill="accent1" w:themeFillTint="99"/>
          </w:tcPr>
          <w:p w14:paraId="1237616E"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KT0403</w:t>
            </w:r>
          </w:p>
        </w:tc>
        <w:tc>
          <w:tcPr>
            <w:tcW w:w="8010" w:type="dxa"/>
          </w:tcPr>
          <w:p w14:paraId="71A17F9E"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Contractual agreements (SLA, MOU, Joint Ventures, and other forms of agreements/contracts)</w:t>
            </w:r>
          </w:p>
        </w:tc>
      </w:tr>
      <w:tr w:rsidR="002773C7" w:rsidRPr="004E171F" w14:paraId="1B231862" w14:textId="77777777" w:rsidTr="00144453">
        <w:tc>
          <w:tcPr>
            <w:tcW w:w="1345" w:type="dxa"/>
            <w:shd w:val="clear" w:color="auto" w:fill="9CC2E5" w:themeFill="accent1" w:themeFillTint="99"/>
          </w:tcPr>
          <w:p w14:paraId="189B44F9"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KT0404</w:t>
            </w:r>
          </w:p>
        </w:tc>
        <w:tc>
          <w:tcPr>
            <w:tcW w:w="8010" w:type="dxa"/>
          </w:tcPr>
          <w:p w14:paraId="17B1CD71"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B-BBEE enterprise and supplier development provisions</w:t>
            </w:r>
          </w:p>
        </w:tc>
      </w:tr>
    </w:tbl>
    <w:p w14:paraId="24E37577"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B2492" w:rsidRPr="00BC7A4A" w14:paraId="2E0DC36B" w14:textId="77777777" w:rsidTr="00666DD5">
        <w:tc>
          <w:tcPr>
            <w:tcW w:w="895" w:type="dxa"/>
            <w:shd w:val="clear" w:color="auto" w:fill="9CC2E5" w:themeFill="accent1" w:themeFillTint="99"/>
          </w:tcPr>
          <w:p w14:paraId="451E14B8" w14:textId="77777777" w:rsidR="00BB2492" w:rsidRPr="00BC7A4A" w:rsidRDefault="00BB2492"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B2492" w:rsidRPr="00BC7A4A" w14:paraId="0859E1F2" w14:textId="77777777" w:rsidTr="00666DD5">
        <w:tc>
          <w:tcPr>
            <w:tcW w:w="895" w:type="dxa"/>
          </w:tcPr>
          <w:p w14:paraId="610E9AEA" w14:textId="77777777" w:rsidR="00BB2492" w:rsidRPr="00BC7A4A" w:rsidRDefault="00BB2492" w:rsidP="00666DD5">
            <w:pPr>
              <w:spacing w:line="360" w:lineRule="auto"/>
              <w:rPr>
                <w:rFonts w:asciiTheme="majorHAnsi" w:hAnsiTheme="majorHAnsi" w:cstheme="majorHAnsi"/>
                <w:b/>
                <w:sz w:val="24"/>
                <w:szCs w:val="24"/>
              </w:rPr>
            </w:pPr>
            <w:r>
              <w:rPr>
                <w:rFonts w:asciiTheme="majorHAnsi" w:hAnsiTheme="majorHAnsi" w:cstheme="majorHAnsi"/>
                <w:b/>
                <w:sz w:val="24"/>
                <w:szCs w:val="24"/>
              </w:rPr>
              <w:t>4</w:t>
            </w:r>
          </w:p>
        </w:tc>
      </w:tr>
    </w:tbl>
    <w:p w14:paraId="7B3DB9B5"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0A0A48D2" w14:textId="77777777" w:rsidR="00134A8E" w:rsidRPr="004E171F" w:rsidRDefault="00134A8E" w:rsidP="004E171F">
      <w:pPr>
        <w:tabs>
          <w:tab w:val="left" w:pos="5387"/>
        </w:tabs>
        <w:spacing w:after="0" w:line="360" w:lineRule="auto"/>
        <w:rPr>
          <w:rFonts w:asciiTheme="majorHAnsi" w:eastAsia="Times New Roman" w:hAnsiTheme="majorHAnsi" w:cstheme="majorHAnsi"/>
          <w:b/>
          <w:sz w:val="24"/>
          <w:szCs w:val="24"/>
        </w:rPr>
      </w:pPr>
    </w:p>
    <w:p w14:paraId="5D6134A8" w14:textId="01DF6D6A" w:rsidR="00373A21" w:rsidRPr="005203BC" w:rsidRDefault="00373A21" w:rsidP="00373A21">
      <w:pPr>
        <w:spacing w:line="360" w:lineRule="auto"/>
        <w:jc w:val="both"/>
        <w:rPr>
          <w:rFonts w:cstheme="majorHAnsi"/>
          <w:b/>
        </w:rPr>
      </w:pPr>
      <w:r>
        <w:rPr>
          <w:rFonts w:asciiTheme="majorHAnsi" w:eastAsia="Times New Roman" w:hAnsiTheme="majorHAnsi" w:cstheme="majorHAnsi"/>
          <w:b/>
          <w:sz w:val="24"/>
          <w:szCs w:val="24"/>
        </w:rPr>
        <w:t xml:space="preserve">Explain the concept of </w:t>
      </w:r>
      <w:r w:rsidRPr="005203BC">
        <w:rPr>
          <w:rFonts w:cstheme="majorHAnsi"/>
          <w:b/>
        </w:rPr>
        <w:t>supplier vetting and vendor vetting</w:t>
      </w:r>
    </w:p>
    <w:p w14:paraId="40C4D1A7" w14:textId="77777777" w:rsidR="00373A21" w:rsidRPr="00373A21" w:rsidRDefault="00373A21" w:rsidP="00373A21">
      <w:pPr>
        <w:spacing w:line="360" w:lineRule="auto"/>
        <w:jc w:val="both"/>
        <w:rPr>
          <w:rFonts w:cstheme="majorHAnsi"/>
          <w:color w:val="FF0000"/>
        </w:rPr>
      </w:pPr>
      <w:r w:rsidRPr="00373A21">
        <w:rPr>
          <w:rFonts w:cstheme="majorHAnsi"/>
          <w:color w:val="FF0000"/>
        </w:rPr>
        <w:t>Vendor management is a valuable tool that can easily be outsourced to consulting service providers who will facilitate interviews and the procurement process. Vendor screening should apply to all potential suppliers with whom an organization does business. This screening and monitoring process (Vendor Vetting) is to ensure that they meet the guidelines of vendor risk management.</w:t>
      </w:r>
    </w:p>
    <w:p w14:paraId="2CF81CEB" w14:textId="65962915" w:rsidR="00373A21" w:rsidRPr="00373A21" w:rsidRDefault="00373A21" w:rsidP="00373A21">
      <w:pPr>
        <w:spacing w:line="360" w:lineRule="auto"/>
        <w:jc w:val="both"/>
        <w:rPr>
          <w:rFonts w:cstheme="majorHAnsi"/>
          <w:color w:val="FF0000"/>
        </w:rPr>
      </w:pPr>
      <w:r w:rsidRPr="00373A21">
        <w:rPr>
          <w:rFonts w:cstheme="majorHAnsi"/>
          <w:color w:val="FF0000"/>
        </w:rPr>
        <w:t> </w:t>
      </w:r>
      <w:r w:rsidRPr="00373A21">
        <w:rPr>
          <w:rFonts w:cstheme="majorHAnsi"/>
          <w:b/>
          <w:bCs/>
          <w:color w:val="FF0000"/>
        </w:rPr>
        <w:t>Critical areas requiring verification for Vendor Vetting are:</w:t>
      </w:r>
    </w:p>
    <w:p w14:paraId="457A4168" w14:textId="77777777" w:rsidR="00373A21" w:rsidRPr="00373A21" w:rsidRDefault="00373A21" w:rsidP="00373A21">
      <w:pPr>
        <w:pStyle w:val="ListParagraph"/>
        <w:numPr>
          <w:ilvl w:val="0"/>
          <w:numId w:val="13"/>
        </w:numPr>
        <w:spacing w:after="0" w:line="360" w:lineRule="auto"/>
        <w:jc w:val="both"/>
        <w:rPr>
          <w:rFonts w:cstheme="majorHAnsi"/>
          <w:color w:val="FF0000"/>
        </w:rPr>
      </w:pPr>
      <w:r w:rsidRPr="00373A21">
        <w:rPr>
          <w:rFonts w:cstheme="majorHAnsi"/>
          <w:color w:val="FF0000"/>
        </w:rPr>
        <w:t>Is the vendor qualified to do the job?</w:t>
      </w:r>
    </w:p>
    <w:p w14:paraId="7E2C0B0B" w14:textId="77777777" w:rsidR="00373A21" w:rsidRPr="00373A21" w:rsidRDefault="00373A21" w:rsidP="00373A21">
      <w:pPr>
        <w:pStyle w:val="ListParagraph"/>
        <w:numPr>
          <w:ilvl w:val="0"/>
          <w:numId w:val="13"/>
        </w:numPr>
        <w:spacing w:after="0" w:line="360" w:lineRule="auto"/>
        <w:jc w:val="both"/>
        <w:rPr>
          <w:rFonts w:cstheme="majorHAnsi"/>
          <w:color w:val="FF0000"/>
        </w:rPr>
      </w:pPr>
      <w:r w:rsidRPr="00373A21">
        <w:rPr>
          <w:rFonts w:cstheme="majorHAnsi"/>
          <w:color w:val="FF0000"/>
        </w:rPr>
        <w:t>Does the vendor have the insurance necessary should there be a problem?</w:t>
      </w:r>
    </w:p>
    <w:p w14:paraId="7AB0A425" w14:textId="77777777" w:rsidR="00373A21" w:rsidRPr="00373A21" w:rsidRDefault="00373A21" w:rsidP="00373A21">
      <w:pPr>
        <w:pStyle w:val="ListParagraph"/>
        <w:numPr>
          <w:ilvl w:val="0"/>
          <w:numId w:val="13"/>
        </w:numPr>
        <w:spacing w:after="0" w:line="360" w:lineRule="auto"/>
        <w:jc w:val="both"/>
        <w:rPr>
          <w:rFonts w:cstheme="majorHAnsi"/>
          <w:color w:val="FF0000"/>
        </w:rPr>
      </w:pPr>
      <w:r w:rsidRPr="00373A21">
        <w:rPr>
          <w:rFonts w:cstheme="majorHAnsi"/>
          <w:color w:val="FF0000"/>
        </w:rPr>
        <w:t>Does the vendor belong to an industry-specific governing body?</w:t>
      </w:r>
    </w:p>
    <w:p w14:paraId="479861B4" w14:textId="4EE7DD16" w:rsidR="00134A8E" w:rsidRPr="00373A21" w:rsidRDefault="00134A8E" w:rsidP="004E171F">
      <w:pPr>
        <w:tabs>
          <w:tab w:val="left" w:pos="5387"/>
        </w:tabs>
        <w:spacing w:after="0" w:line="360" w:lineRule="auto"/>
        <w:rPr>
          <w:rFonts w:asciiTheme="majorHAnsi" w:eastAsia="Times New Roman" w:hAnsiTheme="majorHAnsi" w:cstheme="majorHAnsi"/>
          <w:b/>
          <w:color w:val="FF0000"/>
          <w:sz w:val="24"/>
          <w:szCs w:val="24"/>
        </w:rPr>
      </w:pPr>
    </w:p>
    <w:p w14:paraId="3BE8FFD2" w14:textId="77777777" w:rsidR="00134A8E" w:rsidRPr="00373A21" w:rsidRDefault="00134A8E" w:rsidP="004E171F">
      <w:pPr>
        <w:tabs>
          <w:tab w:val="left" w:pos="5387"/>
        </w:tabs>
        <w:spacing w:after="0" w:line="360" w:lineRule="auto"/>
        <w:rPr>
          <w:rFonts w:asciiTheme="majorHAnsi" w:eastAsia="Times New Roman" w:hAnsiTheme="majorHAnsi" w:cstheme="majorHAnsi"/>
          <w:b/>
          <w:color w:val="FF0000"/>
          <w:sz w:val="24"/>
          <w:szCs w:val="24"/>
        </w:rPr>
      </w:pPr>
    </w:p>
    <w:p w14:paraId="74AAF56D" w14:textId="77777777" w:rsidR="00622E97" w:rsidRPr="00373A21" w:rsidRDefault="00622E97" w:rsidP="004E171F">
      <w:pPr>
        <w:tabs>
          <w:tab w:val="left" w:pos="5387"/>
        </w:tabs>
        <w:spacing w:after="0" w:line="360" w:lineRule="auto"/>
        <w:rPr>
          <w:rFonts w:asciiTheme="majorHAnsi" w:eastAsia="Times New Roman" w:hAnsiTheme="majorHAnsi" w:cstheme="majorHAnsi"/>
          <w:b/>
          <w:color w:val="FF0000"/>
          <w:sz w:val="24"/>
          <w:szCs w:val="24"/>
        </w:rPr>
      </w:pPr>
    </w:p>
    <w:p w14:paraId="5D964424"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68C1087F"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506FCDCC" w14:textId="77777777" w:rsidR="00622E97" w:rsidRPr="004E171F" w:rsidRDefault="00622E97" w:rsidP="004E171F">
      <w:pPr>
        <w:tabs>
          <w:tab w:val="left" w:pos="5387"/>
        </w:tabs>
        <w:spacing w:after="0" w:line="360" w:lineRule="auto"/>
        <w:rPr>
          <w:rFonts w:asciiTheme="majorHAnsi" w:eastAsia="Times New Roman" w:hAnsiTheme="majorHAnsi" w:cstheme="majorHAnsi"/>
          <w:b/>
          <w:sz w:val="24"/>
          <w:szCs w:val="24"/>
        </w:rPr>
      </w:pPr>
    </w:p>
    <w:p w14:paraId="4426B19E"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06DD298A" w14:textId="77777777" w:rsidTr="00144453">
        <w:tc>
          <w:tcPr>
            <w:tcW w:w="9350" w:type="dxa"/>
            <w:shd w:val="clear" w:color="auto" w:fill="9CC2E5" w:themeFill="accent1" w:themeFillTint="99"/>
          </w:tcPr>
          <w:p w14:paraId="1B78DDAE" w14:textId="77777777" w:rsidR="002773C7" w:rsidRPr="004E171F" w:rsidRDefault="00622E97"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KM-02-KT05: Communication and reporting within Learning and Development Management</w:t>
            </w:r>
          </w:p>
        </w:tc>
      </w:tr>
    </w:tbl>
    <w:p w14:paraId="6D8F57FD"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68E5EB6E" w14:textId="77777777" w:rsidTr="00144453">
        <w:tc>
          <w:tcPr>
            <w:tcW w:w="1345" w:type="dxa"/>
            <w:shd w:val="clear" w:color="auto" w:fill="9CC2E5" w:themeFill="accent1" w:themeFillTint="99"/>
          </w:tcPr>
          <w:p w14:paraId="2F2F8257"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KT0501</w:t>
            </w:r>
          </w:p>
        </w:tc>
        <w:tc>
          <w:tcPr>
            <w:tcW w:w="8010" w:type="dxa"/>
          </w:tcPr>
          <w:p w14:paraId="4CA82024"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Communication principles, concepts and practices</w:t>
            </w:r>
          </w:p>
        </w:tc>
      </w:tr>
      <w:tr w:rsidR="002773C7" w:rsidRPr="004E171F" w14:paraId="5F4B800D" w14:textId="77777777" w:rsidTr="00144453">
        <w:tc>
          <w:tcPr>
            <w:tcW w:w="1345" w:type="dxa"/>
            <w:shd w:val="clear" w:color="auto" w:fill="9CC2E5" w:themeFill="accent1" w:themeFillTint="99"/>
          </w:tcPr>
          <w:p w14:paraId="5785B972"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KT0502</w:t>
            </w:r>
          </w:p>
        </w:tc>
        <w:tc>
          <w:tcPr>
            <w:tcW w:w="8010" w:type="dxa"/>
          </w:tcPr>
          <w:p w14:paraId="40282620"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Report writing and presentation concepts</w:t>
            </w:r>
          </w:p>
        </w:tc>
      </w:tr>
      <w:tr w:rsidR="002773C7" w:rsidRPr="004E171F" w14:paraId="0E051711" w14:textId="77777777" w:rsidTr="00144453">
        <w:tc>
          <w:tcPr>
            <w:tcW w:w="1345" w:type="dxa"/>
            <w:shd w:val="clear" w:color="auto" w:fill="9CC2E5" w:themeFill="accent1" w:themeFillTint="99"/>
          </w:tcPr>
          <w:p w14:paraId="6E7C582C"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KT0503</w:t>
            </w:r>
          </w:p>
        </w:tc>
        <w:tc>
          <w:tcPr>
            <w:tcW w:w="8010" w:type="dxa"/>
          </w:tcPr>
          <w:p w14:paraId="334F8DF1"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Stakeholder communication and relationship management (consultative processes, buy-in, respect, rapport building, negotiation, diversity and conflict)</w:t>
            </w:r>
          </w:p>
        </w:tc>
      </w:tr>
      <w:tr w:rsidR="002773C7" w:rsidRPr="004E171F" w14:paraId="61BF6917" w14:textId="77777777" w:rsidTr="00144453">
        <w:tc>
          <w:tcPr>
            <w:tcW w:w="1345" w:type="dxa"/>
            <w:shd w:val="clear" w:color="auto" w:fill="9CC2E5" w:themeFill="accent1" w:themeFillTint="99"/>
          </w:tcPr>
          <w:p w14:paraId="7452A9B6"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KT0504</w:t>
            </w:r>
          </w:p>
        </w:tc>
        <w:tc>
          <w:tcPr>
            <w:tcW w:w="8010" w:type="dxa"/>
          </w:tcPr>
          <w:p w14:paraId="22459059"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Dialogue and conversations (perceptions, values, personal motivation, target audience)</w:t>
            </w:r>
          </w:p>
        </w:tc>
      </w:tr>
      <w:tr w:rsidR="002773C7" w:rsidRPr="004E171F" w14:paraId="17809E03" w14:textId="77777777" w:rsidTr="00144453">
        <w:tc>
          <w:tcPr>
            <w:tcW w:w="1345" w:type="dxa"/>
            <w:shd w:val="clear" w:color="auto" w:fill="9CC2E5" w:themeFill="accent1" w:themeFillTint="99"/>
          </w:tcPr>
          <w:p w14:paraId="072F917E" w14:textId="77777777" w:rsidR="002773C7" w:rsidRPr="004E171F" w:rsidRDefault="00622E97"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KT0505</w:t>
            </w:r>
          </w:p>
        </w:tc>
        <w:tc>
          <w:tcPr>
            <w:tcW w:w="8010" w:type="dxa"/>
          </w:tcPr>
          <w:p w14:paraId="46ED4519" w14:textId="77777777" w:rsidR="002773C7" w:rsidRPr="004E171F" w:rsidRDefault="00622E9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Group dynamics (identify groups, understand groups, communication types applicable to different groups)</w:t>
            </w:r>
          </w:p>
        </w:tc>
      </w:tr>
      <w:tr w:rsidR="002773C7" w:rsidRPr="004E171F" w14:paraId="618F1CF8" w14:textId="77777777" w:rsidTr="00144453">
        <w:tc>
          <w:tcPr>
            <w:tcW w:w="1345" w:type="dxa"/>
            <w:shd w:val="clear" w:color="auto" w:fill="9CC2E5" w:themeFill="accent1" w:themeFillTint="99"/>
          </w:tcPr>
          <w:p w14:paraId="3C3A88F8"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IAC0501</w:t>
            </w:r>
          </w:p>
        </w:tc>
        <w:tc>
          <w:tcPr>
            <w:tcW w:w="8010" w:type="dxa"/>
          </w:tcPr>
          <w:p w14:paraId="2CA56E8F" w14:textId="77777777" w:rsidR="002773C7" w:rsidRPr="004E171F" w:rsidRDefault="004E171F"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Effective communication practices are identified for various learning and development management scenarios, contexts and applications</w:t>
            </w:r>
          </w:p>
        </w:tc>
      </w:tr>
    </w:tbl>
    <w:p w14:paraId="0F27065E" w14:textId="77777777" w:rsidR="00134A8E" w:rsidRPr="004E171F" w:rsidRDefault="00134A8E"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B2492" w:rsidRPr="00BC7A4A" w14:paraId="1F318AFE" w14:textId="77777777" w:rsidTr="00666DD5">
        <w:tc>
          <w:tcPr>
            <w:tcW w:w="895" w:type="dxa"/>
            <w:shd w:val="clear" w:color="auto" w:fill="9CC2E5" w:themeFill="accent1" w:themeFillTint="99"/>
          </w:tcPr>
          <w:p w14:paraId="672C07BB" w14:textId="77777777" w:rsidR="00BB2492" w:rsidRPr="00BC7A4A" w:rsidRDefault="00BB2492"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B2492" w:rsidRPr="00BC7A4A" w14:paraId="11756D53" w14:textId="77777777" w:rsidTr="00666DD5">
        <w:tc>
          <w:tcPr>
            <w:tcW w:w="895" w:type="dxa"/>
          </w:tcPr>
          <w:p w14:paraId="4AAE07FE" w14:textId="77777777" w:rsidR="00BB2492" w:rsidRPr="00BC7A4A" w:rsidRDefault="00BB2492" w:rsidP="00666DD5">
            <w:pPr>
              <w:spacing w:line="360" w:lineRule="auto"/>
              <w:rPr>
                <w:rFonts w:asciiTheme="majorHAnsi" w:hAnsiTheme="majorHAnsi" w:cstheme="majorHAnsi"/>
                <w:b/>
                <w:sz w:val="24"/>
                <w:szCs w:val="24"/>
              </w:rPr>
            </w:pPr>
            <w:r>
              <w:rPr>
                <w:rFonts w:asciiTheme="majorHAnsi" w:hAnsiTheme="majorHAnsi" w:cstheme="majorHAnsi"/>
                <w:b/>
                <w:sz w:val="24"/>
                <w:szCs w:val="24"/>
              </w:rPr>
              <w:t>5</w:t>
            </w:r>
          </w:p>
        </w:tc>
      </w:tr>
    </w:tbl>
    <w:p w14:paraId="18C30EFA" w14:textId="77777777" w:rsidR="005056D3" w:rsidRDefault="005056D3" w:rsidP="004E171F">
      <w:pPr>
        <w:spacing w:line="360" w:lineRule="auto"/>
        <w:rPr>
          <w:rFonts w:asciiTheme="majorHAnsi" w:hAnsiTheme="majorHAnsi" w:cstheme="majorHAnsi"/>
          <w:sz w:val="24"/>
          <w:szCs w:val="24"/>
        </w:rPr>
      </w:pPr>
    </w:p>
    <w:p w14:paraId="0E224A7D" w14:textId="2E4278AA" w:rsidR="005056D3" w:rsidRPr="005203BC" w:rsidRDefault="005056D3" w:rsidP="005056D3">
      <w:pPr>
        <w:shd w:val="clear" w:color="auto" w:fill="FFFFFF" w:themeFill="background1"/>
        <w:spacing w:line="360" w:lineRule="auto"/>
        <w:jc w:val="both"/>
        <w:rPr>
          <w:rFonts w:cs="Arial"/>
          <w:b/>
        </w:rPr>
      </w:pPr>
      <w:r w:rsidRPr="005203BC">
        <w:rPr>
          <w:rFonts w:cs="Arial"/>
          <w:b/>
        </w:rPr>
        <w:t>What is Communication?</w:t>
      </w:r>
    </w:p>
    <w:p w14:paraId="1044D6A5" w14:textId="77777777" w:rsidR="005056D3" w:rsidRPr="005056D3" w:rsidRDefault="005056D3" w:rsidP="005056D3">
      <w:pPr>
        <w:pStyle w:val="BodyText2"/>
        <w:spacing w:line="360" w:lineRule="auto"/>
        <w:jc w:val="both"/>
        <w:rPr>
          <w:rFonts w:asciiTheme="minorHAnsi" w:hAnsiTheme="minorHAnsi" w:cs="Arial"/>
          <w:bCs/>
          <w:color w:val="FF0000"/>
          <w:sz w:val="24"/>
          <w:szCs w:val="24"/>
        </w:rPr>
      </w:pPr>
      <w:r w:rsidRPr="005056D3">
        <w:rPr>
          <w:rFonts w:asciiTheme="minorHAnsi" w:hAnsiTheme="minorHAnsi" w:cs="Arial"/>
          <w:color w:val="FF0000"/>
          <w:sz w:val="24"/>
          <w:szCs w:val="24"/>
        </w:rPr>
        <w:t>Communication is defined as a transaction in that people work together to create meaning exchanging symbols –hence people have to take one another into consideration.</w:t>
      </w:r>
    </w:p>
    <w:p w14:paraId="60EFB8A8" w14:textId="77777777" w:rsidR="002773C7" w:rsidRPr="005056D3" w:rsidRDefault="002773C7" w:rsidP="004E171F">
      <w:pPr>
        <w:spacing w:line="360" w:lineRule="auto"/>
        <w:rPr>
          <w:rFonts w:asciiTheme="majorHAnsi" w:hAnsiTheme="majorHAnsi" w:cstheme="majorHAnsi"/>
          <w:color w:val="FF0000"/>
          <w:sz w:val="24"/>
          <w:szCs w:val="24"/>
        </w:rPr>
      </w:pPr>
      <w:r w:rsidRPr="005056D3">
        <w:rPr>
          <w:rFonts w:asciiTheme="majorHAnsi" w:hAnsiTheme="majorHAnsi" w:cstheme="majorHAnsi"/>
          <w:color w:val="FF0000"/>
          <w:sz w:val="24"/>
          <w:szCs w:val="24"/>
        </w:rPr>
        <w:br w:type="page"/>
      </w:r>
    </w:p>
    <w:p w14:paraId="678BE503"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p w14:paraId="7CDD9813"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E171F" w14:paraId="56457EA8" w14:textId="77777777" w:rsidTr="00144453">
        <w:tc>
          <w:tcPr>
            <w:tcW w:w="9350" w:type="dxa"/>
            <w:shd w:val="clear" w:color="auto" w:fill="9CC2E5" w:themeFill="accent1" w:themeFillTint="99"/>
          </w:tcPr>
          <w:p w14:paraId="5C2017FF" w14:textId="77777777" w:rsidR="002773C7" w:rsidRPr="004E171F" w:rsidRDefault="004E171F" w:rsidP="004E171F">
            <w:pPr>
              <w:tabs>
                <w:tab w:val="left" w:pos="5387"/>
              </w:tabs>
              <w:spacing w:line="360" w:lineRule="auto"/>
              <w:rPr>
                <w:rFonts w:asciiTheme="majorHAnsi" w:eastAsia="Times New Roman" w:hAnsiTheme="majorHAnsi" w:cstheme="majorHAnsi"/>
                <w:b/>
                <w:sz w:val="24"/>
                <w:szCs w:val="24"/>
              </w:rPr>
            </w:pPr>
            <w:r w:rsidRPr="004E171F">
              <w:rPr>
                <w:rFonts w:asciiTheme="majorHAnsi" w:eastAsia="Times New Roman" w:hAnsiTheme="majorHAnsi" w:cstheme="majorHAnsi"/>
                <w:b/>
                <w:sz w:val="24"/>
                <w:szCs w:val="24"/>
              </w:rPr>
              <w:t>KM-02-KT06: Learning and development ethics</w:t>
            </w:r>
          </w:p>
        </w:tc>
      </w:tr>
    </w:tbl>
    <w:p w14:paraId="4318D7E3"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E171F" w14:paraId="3A5681C3" w14:textId="77777777" w:rsidTr="00144453">
        <w:tc>
          <w:tcPr>
            <w:tcW w:w="1345" w:type="dxa"/>
            <w:shd w:val="clear" w:color="auto" w:fill="9CC2E5" w:themeFill="accent1" w:themeFillTint="99"/>
          </w:tcPr>
          <w:p w14:paraId="2B1EE5AD"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KT0601</w:t>
            </w:r>
          </w:p>
        </w:tc>
        <w:tc>
          <w:tcPr>
            <w:tcW w:w="8010" w:type="dxa"/>
          </w:tcPr>
          <w:p w14:paraId="5B5DD8E4" w14:textId="61A6B32D" w:rsidR="002773C7" w:rsidRPr="004E171F" w:rsidRDefault="00E6423B"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Organizational</w:t>
            </w:r>
            <w:r w:rsidR="004E171F" w:rsidRPr="004E171F">
              <w:rPr>
                <w:rFonts w:asciiTheme="majorHAnsi" w:hAnsiTheme="majorHAnsi" w:cstheme="majorHAnsi"/>
                <w:sz w:val="24"/>
                <w:szCs w:val="24"/>
              </w:rPr>
              <w:t xml:space="preserve"> and professional ethical practices and concepts</w:t>
            </w:r>
          </w:p>
        </w:tc>
      </w:tr>
      <w:tr w:rsidR="002773C7" w:rsidRPr="004E171F" w14:paraId="307990BB" w14:textId="77777777" w:rsidTr="00144453">
        <w:tc>
          <w:tcPr>
            <w:tcW w:w="1345" w:type="dxa"/>
            <w:shd w:val="clear" w:color="auto" w:fill="9CC2E5" w:themeFill="accent1" w:themeFillTint="99"/>
          </w:tcPr>
          <w:p w14:paraId="23BCF500"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KT0602</w:t>
            </w:r>
          </w:p>
        </w:tc>
        <w:tc>
          <w:tcPr>
            <w:tcW w:w="8010" w:type="dxa"/>
          </w:tcPr>
          <w:p w14:paraId="230FCEB4" w14:textId="77777777" w:rsidR="002773C7" w:rsidRPr="004E171F" w:rsidRDefault="004E171F"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Ethics in professional learning and development practice and reporting</w:t>
            </w:r>
          </w:p>
        </w:tc>
      </w:tr>
      <w:tr w:rsidR="002773C7" w:rsidRPr="004E171F" w14:paraId="5DEA2F72" w14:textId="77777777" w:rsidTr="00144453">
        <w:tc>
          <w:tcPr>
            <w:tcW w:w="1345" w:type="dxa"/>
            <w:shd w:val="clear" w:color="auto" w:fill="9CC2E5" w:themeFill="accent1" w:themeFillTint="99"/>
          </w:tcPr>
          <w:p w14:paraId="42B21865" w14:textId="77777777" w:rsidR="002773C7" w:rsidRPr="004E171F" w:rsidRDefault="004E171F" w:rsidP="004E171F">
            <w:pPr>
              <w:spacing w:line="360" w:lineRule="auto"/>
              <w:rPr>
                <w:rFonts w:asciiTheme="majorHAnsi" w:hAnsiTheme="majorHAnsi" w:cstheme="majorHAnsi"/>
                <w:b/>
                <w:sz w:val="24"/>
                <w:szCs w:val="24"/>
              </w:rPr>
            </w:pPr>
            <w:r w:rsidRPr="004E171F">
              <w:rPr>
                <w:rFonts w:asciiTheme="majorHAnsi" w:hAnsiTheme="majorHAnsi" w:cstheme="majorHAnsi"/>
                <w:b/>
                <w:sz w:val="24"/>
                <w:szCs w:val="24"/>
              </w:rPr>
              <w:t>KT0603</w:t>
            </w:r>
          </w:p>
        </w:tc>
        <w:tc>
          <w:tcPr>
            <w:tcW w:w="8010" w:type="dxa"/>
          </w:tcPr>
          <w:p w14:paraId="455EB8F4" w14:textId="77777777" w:rsidR="002773C7" w:rsidRPr="004E171F" w:rsidRDefault="004E171F"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t>Ethical business values and codes of conduct</w:t>
            </w:r>
          </w:p>
        </w:tc>
      </w:tr>
    </w:tbl>
    <w:p w14:paraId="1CBF7E39" w14:textId="77777777" w:rsidR="002773C7" w:rsidRPr="004E171F" w:rsidRDefault="002773C7" w:rsidP="004E171F">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5"/>
      </w:tblGrid>
      <w:tr w:rsidR="00BB2492" w:rsidRPr="00BC7A4A" w14:paraId="0EA14244" w14:textId="77777777" w:rsidTr="00666DD5">
        <w:tc>
          <w:tcPr>
            <w:tcW w:w="895" w:type="dxa"/>
            <w:shd w:val="clear" w:color="auto" w:fill="9CC2E5" w:themeFill="accent1" w:themeFillTint="99"/>
          </w:tcPr>
          <w:p w14:paraId="795A0C92" w14:textId="77777777" w:rsidR="00BB2492" w:rsidRPr="00BC7A4A" w:rsidRDefault="00BB2492" w:rsidP="00666DD5">
            <w:pPr>
              <w:spacing w:line="360" w:lineRule="auto"/>
              <w:rPr>
                <w:rFonts w:asciiTheme="majorHAnsi" w:hAnsiTheme="majorHAnsi" w:cstheme="majorHAnsi"/>
                <w:b/>
                <w:sz w:val="24"/>
                <w:szCs w:val="24"/>
              </w:rPr>
            </w:pPr>
            <w:r w:rsidRPr="00BC7A4A">
              <w:rPr>
                <w:rFonts w:asciiTheme="majorHAnsi" w:hAnsiTheme="majorHAnsi" w:cstheme="majorHAnsi"/>
                <w:b/>
                <w:sz w:val="24"/>
                <w:szCs w:val="24"/>
              </w:rPr>
              <w:t>ACTIVITY</w:t>
            </w:r>
          </w:p>
        </w:tc>
      </w:tr>
      <w:tr w:rsidR="00BB2492" w:rsidRPr="00BC7A4A" w14:paraId="2059DEF9" w14:textId="77777777" w:rsidTr="00666DD5">
        <w:tc>
          <w:tcPr>
            <w:tcW w:w="895" w:type="dxa"/>
          </w:tcPr>
          <w:p w14:paraId="5B77DCAE" w14:textId="77777777" w:rsidR="00BB2492" w:rsidRPr="00BC7A4A" w:rsidRDefault="00BB2492" w:rsidP="00666DD5">
            <w:pPr>
              <w:spacing w:line="360" w:lineRule="auto"/>
              <w:rPr>
                <w:rFonts w:asciiTheme="majorHAnsi" w:hAnsiTheme="majorHAnsi" w:cstheme="majorHAnsi"/>
                <w:b/>
                <w:sz w:val="24"/>
                <w:szCs w:val="24"/>
              </w:rPr>
            </w:pPr>
            <w:r>
              <w:rPr>
                <w:rFonts w:asciiTheme="majorHAnsi" w:hAnsiTheme="majorHAnsi" w:cstheme="majorHAnsi"/>
                <w:b/>
                <w:sz w:val="24"/>
                <w:szCs w:val="24"/>
              </w:rPr>
              <w:t>6</w:t>
            </w:r>
          </w:p>
        </w:tc>
      </w:tr>
    </w:tbl>
    <w:p w14:paraId="6FB8A29A" w14:textId="77777777" w:rsidR="00572414" w:rsidRDefault="00572414" w:rsidP="004E171F">
      <w:pPr>
        <w:spacing w:line="360" w:lineRule="auto"/>
        <w:rPr>
          <w:rFonts w:asciiTheme="majorHAnsi" w:hAnsiTheme="majorHAnsi" w:cstheme="majorHAnsi"/>
          <w:sz w:val="24"/>
          <w:szCs w:val="24"/>
        </w:rPr>
      </w:pPr>
    </w:p>
    <w:p w14:paraId="1942E4DC" w14:textId="77777777" w:rsidR="00572414" w:rsidRPr="005203BC" w:rsidRDefault="00572414" w:rsidP="00572414">
      <w:pPr>
        <w:spacing w:line="360" w:lineRule="auto"/>
        <w:jc w:val="both"/>
        <w:rPr>
          <w:rFonts w:cstheme="majorHAnsi"/>
          <w:b/>
        </w:rPr>
      </w:pPr>
      <w:r w:rsidRPr="005203BC">
        <w:rPr>
          <w:rFonts w:cstheme="majorHAnsi"/>
          <w:b/>
        </w:rPr>
        <w:t>What Is a Professional Learning Community?</w:t>
      </w:r>
    </w:p>
    <w:p w14:paraId="052B2318" w14:textId="77777777" w:rsidR="00572414" w:rsidRPr="00572414" w:rsidRDefault="00572414" w:rsidP="00572414">
      <w:pPr>
        <w:spacing w:line="360" w:lineRule="auto"/>
        <w:jc w:val="both"/>
        <w:rPr>
          <w:rFonts w:cstheme="majorHAnsi"/>
          <w:color w:val="FF0000"/>
        </w:rPr>
      </w:pPr>
      <w:r w:rsidRPr="00572414">
        <w:rPr>
          <w:rFonts w:cstheme="majorHAnsi"/>
          <w:color w:val="FF0000"/>
        </w:rPr>
        <w:t>The professional learning community model has now reached a critical juncture, one well known to those who have witnessed the fate of other well-intentioned school reform efforts. In thi</w:t>
      </w:r>
      <w:bookmarkStart w:id="2" w:name="_GoBack"/>
      <w:bookmarkEnd w:id="2"/>
      <w:r w:rsidRPr="00572414">
        <w:rPr>
          <w:rFonts w:cstheme="majorHAnsi"/>
          <w:color w:val="FF0000"/>
        </w:rPr>
        <w:t>s all-too-familiar cycle, initial enthusiasm gives way to confusion about the fundamental concepts driving the initiative, followed by inevitable implementation problems, the conclusion that the reform has failed to bring about the desired results, abandonment of the reform, and the launch of a new search for the next promising initiative. Another reform movement has come and gone, reinforcing the conventional education wisdom that promises, “This too shall pass.”</w:t>
      </w:r>
    </w:p>
    <w:p w14:paraId="62EE042B" w14:textId="77777777" w:rsidR="00572414" w:rsidRPr="00572414" w:rsidRDefault="00572414" w:rsidP="00572414">
      <w:pPr>
        <w:spacing w:line="360" w:lineRule="auto"/>
        <w:jc w:val="both"/>
        <w:rPr>
          <w:rFonts w:cstheme="majorHAnsi"/>
          <w:color w:val="FF0000"/>
        </w:rPr>
      </w:pPr>
      <w:r w:rsidRPr="00572414">
        <w:rPr>
          <w:rFonts w:cstheme="majorHAnsi"/>
          <w:color w:val="FF0000"/>
        </w:rPr>
        <w:t>The movement to develop professional learning communities can avoid this cycle, but only if educators reflect critically on the concept's merits. What are the “big ideas” that represent the core principles of professional learning communities? How do these principles guide schools' efforts to sustain the professional learning community model until it becomes deeply embedded in the culture of the school?</w:t>
      </w:r>
    </w:p>
    <w:p w14:paraId="32CBAF2E" w14:textId="77777777" w:rsidR="002773C7" w:rsidRPr="004E171F" w:rsidRDefault="002773C7" w:rsidP="004E171F">
      <w:pPr>
        <w:spacing w:line="360" w:lineRule="auto"/>
        <w:rPr>
          <w:rFonts w:asciiTheme="majorHAnsi" w:hAnsiTheme="majorHAnsi" w:cstheme="majorHAnsi"/>
          <w:sz w:val="24"/>
          <w:szCs w:val="24"/>
        </w:rPr>
      </w:pPr>
      <w:r w:rsidRPr="004E171F">
        <w:rPr>
          <w:rFonts w:asciiTheme="majorHAnsi" w:hAnsiTheme="majorHAnsi" w:cstheme="majorHAnsi"/>
          <w:sz w:val="24"/>
          <w:szCs w:val="24"/>
        </w:rPr>
        <w:br w:type="page"/>
      </w:r>
    </w:p>
    <w:p w14:paraId="4B0C3E71" w14:textId="77777777" w:rsidR="002773C7" w:rsidRPr="004E171F" w:rsidRDefault="002773C7" w:rsidP="004E171F">
      <w:pPr>
        <w:tabs>
          <w:tab w:val="left" w:pos="5387"/>
        </w:tabs>
        <w:spacing w:after="0" w:line="360" w:lineRule="auto"/>
        <w:rPr>
          <w:rFonts w:asciiTheme="majorHAnsi" w:eastAsia="Times New Roman" w:hAnsiTheme="majorHAnsi" w:cstheme="majorHAnsi"/>
          <w:b/>
          <w:sz w:val="24"/>
          <w:szCs w:val="24"/>
        </w:rPr>
      </w:pPr>
    </w:p>
    <w:sectPr w:rsidR="002773C7" w:rsidRPr="004E171F" w:rsidSect="002773C7">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3B90E7" w14:textId="77777777" w:rsidR="003A78B0" w:rsidRDefault="003A78B0" w:rsidP="00447F5D">
      <w:pPr>
        <w:spacing w:after="0" w:line="240" w:lineRule="auto"/>
      </w:pPr>
      <w:r>
        <w:separator/>
      </w:r>
    </w:p>
  </w:endnote>
  <w:endnote w:type="continuationSeparator" w:id="0">
    <w:p w14:paraId="7F568A7E" w14:textId="77777777" w:rsidR="003A78B0" w:rsidRDefault="003A78B0"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entury Gothic">
    <w:panose1 w:val="020B0502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66D55412" w14:textId="77777777" w:rsidR="00447F5D" w:rsidRDefault="00447F5D">
        <w:pPr>
          <w:pStyle w:val="Footer"/>
          <w:jc w:val="right"/>
        </w:pPr>
        <w:r>
          <w:fldChar w:fldCharType="begin"/>
        </w:r>
        <w:r>
          <w:instrText xml:space="preserve"> PAGE   \* MERGEFORMAT </w:instrText>
        </w:r>
        <w:r>
          <w:fldChar w:fldCharType="separate"/>
        </w:r>
        <w:r w:rsidR="003A78B0">
          <w:rPr>
            <w:noProof/>
          </w:rPr>
          <w:t>1</w:t>
        </w:r>
        <w:r>
          <w:rPr>
            <w:noProof/>
          </w:rPr>
          <w:fldChar w:fldCharType="end"/>
        </w:r>
      </w:p>
    </w:sdtContent>
  </w:sdt>
  <w:p w14:paraId="21071673"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3EA682" w14:textId="77777777" w:rsidR="003A78B0" w:rsidRDefault="003A78B0" w:rsidP="00447F5D">
      <w:pPr>
        <w:spacing w:after="0" w:line="240" w:lineRule="auto"/>
      </w:pPr>
      <w:r>
        <w:separator/>
      </w:r>
    </w:p>
  </w:footnote>
  <w:footnote w:type="continuationSeparator" w:id="0">
    <w:p w14:paraId="4B0DD624" w14:textId="77777777" w:rsidR="003A78B0" w:rsidRDefault="003A78B0"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52C55"/>
    <w:multiLevelType w:val="hybridMultilevel"/>
    <w:tmpl w:val="CA663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D95D80"/>
    <w:multiLevelType w:val="hybridMultilevel"/>
    <w:tmpl w:val="9DC624B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0373073E"/>
    <w:multiLevelType w:val="hybridMultilevel"/>
    <w:tmpl w:val="F1420A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CEF5A82"/>
    <w:multiLevelType w:val="hybridMultilevel"/>
    <w:tmpl w:val="E37A687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129E603A"/>
    <w:multiLevelType w:val="hybridMultilevel"/>
    <w:tmpl w:val="D4CE8A1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2C1674F1"/>
    <w:multiLevelType w:val="hybridMultilevel"/>
    <w:tmpl w:val="43360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DDD2A0B"/>
    <w:multiLevelType w:val="hybridMultilevel"/>
    <w:tmpl w:val="54F6C92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3A0058AB"/>
    <w:multiLevelType w:val="hybridMultilevel"/>
    <w:tmpl w:val="A58EC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44B938AD"/>
    <w:multiLevelType w:val="hybridMultilevel"/>
    <w:tmpl w:val="E98414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4CEA0563"/>
    <w:multiLevelType w:val="hybridMultilevel"/>
    <w:tmpl w:val="BA54B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583B11DF"/>
    <w:multiLevelType w:val="hybridMultilevel"/>
    <w:tmpl w:val="792CF10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62564D2B"/>
    <w:multiLevelType w:val="hybridMultilevel"/>
    <w:tmpl w:val="64D0047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nsid w:val="77333E5C"/>
    <w:multiLevelType w:val="hybridMultilevel"/>
    <w:tmpl w:val="1298C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4"/>
  </w:num>
  <w:num w:numId="3">
    <w:abstractNumId w:val="1"/>
  </w:num>
  <w:num w:numId="4">
    <w:abstractNumId w:val="10"/>
  </w:num>
  <w:num w:numId="5">
    <w:abstractNumId w:val="6"/>
  </w:num>
  <w:num w:numId="6">
    <w:abstractNumId w:val="3"/>
  </w:num>
  <w:num w:numId="7">
    <w:abstractNumId w:val="11"/>
  </w:num>
  <w:num w:numId="8">
    <w:abstractNumId w:val="2"/>
  </w:num>
  <w:num w:numId="9">
    <w:abstractNumId w:val="7"/>
  </w:num>
  <w:num w:numId="10">
    <w:abstractNumId w:val="8"/>
  </w:num>
  <w:num w:numId="11">
    <w:abstractNumId w:val="5"/>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0FD0"/>
    <w:rsid w:val="00010BF3"/>
    <w:rsid w:val="000B3A5A"/>
    <w:rsid w:val="000B659D"/>
    <w:rsid w:val="000C01FF"/>
    <w:rsid w:val="00134A8E"/>
    <w:rsid w:val="002773C7"/>
    <w:rsid w:val="00293268"/>
    <w:rsid w:val="00373A21"/>
    <w:rsid w:val="003A78B0"/>
    <w:rsid w:val="003E1A30"/>
    <w:rsid w:val="00447F5D"/>
    <w:rsid w:val="0048360A"/>
    <w:rsid w:val="00493AC1"/>
    <w:rsid w:val="004B4B82"/>
    <w:rsid w:val="004E171F"/>
    <w:rsid w:val="005056D3"/>
    <w:rsid w:val="00572414"/>
    <w:rsid w:val="00622E97"/>
    <w:rsid w:val="006F0EEB"/>
    <w:rsid w:val="00836323"/>
    <w:rsid w:val="00882096"/>
    <w:rsid w:val="008A6D84"/>
    <w:rsid w:val="008E72CE"/>
    <w:rsid w:val="00A84F70"/>
    <w:rsid w:val="00AC496A"/>
    <w:rsid w:val="00B21852"/>
    <w:rsid w:val="00B347DE"/>
    <w:rsid w:val="00BB2492"/>
    <w:rsid w:val="00C52F35"/>
    <w:rsid w:val="00E6423B"/>
    <w:rsid w:val="00F2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D9DA"/>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22E97"/>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22E97"/>
    <w:pPr>
      <w:ind w:left="720"/>
      <w:contextualSpacing/>
    </w:pPr>
  </w:style>
  <w:style w:type="paragraph" w:styleId="BodyText2">
    <w:name w:val="Body Text 2"/>
    <w:basedOn w:val="Normal"/>
    <w:link w:val="BodyText2Char"/>
    <w:rsid w:val="005056D3"/>
    <w:pPr>
      <w:spacing w:after="0" w:line="240" w:lineRule="auto"/>
    </w:pPr>
    <w:rPr>
      <w:rFonts w:ascii="Comic Sans MS" w:eastAsia="Times New Roman" w:hAnsi="Comic Sans MS" w:cs="Times New Roman"/>
      <w:sz w:val="28"/>
      <w:szCs w:val="20"/>
      <w:lang w:val="en-GB"/>
    </w:rPr>
  </w:style>
  <w:style w:type="character" w:customStyle="1" w:styleId="BodyText2Char">
    <w:name w:val="Body Text 2 Char"/>
    <w:basedOn w:val="DefaultParagraphFont"/>
    <w:link w:val="BodyText2"/>
    <w:rsid w:val="005056D3"/>
    <w:rPr>
      <w:rFonts w:ascii="Comic Sans MS" w:eastAsia="Times New Roman" w:hAnsi="Comic Sans MS" w:cs="Times New Roman"/>
      <w:sz w:val="2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1680</Words>
  <Characters>9580</Characters>
  <Application>Microsoft Macintosh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2018-06-27T14:55:00Z</dcterms:created>
  <dcterms:modified xsi:type="dcterms:W3CDTF">2018-06-28T14:06:00Z</dcterms:modified>
</cp:coreProperties>
</file>