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2A4457" w14:textId="77777777" w:rsidR="00134A8E" w:rsidRPr="0020771E" w:rsidRDefault="005D2A72" w:rsidP="0020771E">
      <w:pPr>
        <w:spacing w:line="360" w:lineRule="auto"/>
        <w:jc w:val="center"/>
        <w:rPr>
          <w:rFonts w:asciiTheme="majorHAnsi" w:hAnsiTheme="majorHAnsi"/>
          <w:b/>
          <w:sz w:val="24"/>
          <w:szCs w:val="24"/>
        </w:rPr>
      </w:pPr>
      <w:r w:rsidRPr="0020771E">
        <w:rPr>
          <w:rFonts w:asciiTheme="majorHAnsi" w:hAnsiTheme="majorHAnsi"/>
          <w:b/>
          <w:bCs/>
          <w:sz w:val="24"/>
          <w:szCs w:val="24"/>
        </w:rPr>
        <w:t>WORK BASED LEARNING</w:t>
      </w:r>
    </w:p>
    <w:p w14:paraId="188C9E44" w14:textId="77777777" w:rsidR="00882096" w:rsidRPr="0020771E" w:rsidRDefault="00D82400" w:rsidP="0020771E">
      <w:pPr>
        <w:spacing w:line="360" w:lineRule="auto"/>
        <w:jc w:val="center"/>
        <w:rPr>
          <w:rFonts w:asciiTheme="majorHAnsi" w:hAnsiTheme="majorHAnsi"/>
          <w:b/>
          <w:sz w:val="24"/>
          <w:szCs w:val="24"/>
        </w:rPr>
      </w:pPr>
      <w:r>
        <w:rPr>
          <w:rFonts w:asciiTheme="majorHAnsi" w:hAnsiTheme="majorHAnsi"/>
          <w:b/>
          <w:sz w:val="24"/>
          <w:szCs w:val="24"/>
        </w:rPr>
        <w:t>SUMMATIBVE MEMO</w:t>
      </w:r>
    </w:p>
    <w:p w14:paraId="65A05651" w14:textId="77777777" w:rsidR="002773C7" w:rsidRPr="0020771E" w:rsidRDefault="002773C7" w:rsidP="0020771E">
      <w:pPr>
        <w:spacing w:line="360" w:lineRule="auto"/>
        <w:rPr>
          <w:rFonts w:asciiTheme="majorHAnsi" w:hAnsiTheme="majorHAnsi"/>
          <w:sz w:val="24"/>
          <w:szCs w:val="24"/>
        </w:rPr>
      </w:pPr>
    </w:p>
    <w:p w14:paraId="531C436E" w14:textId="77777777" w:rsidR="002773C7" w:rsidRPr="0020771E" w:rsidRDefault="002773C7" w:rsidP="0020771E">
      <w:pPr>
        <w:spacing w:line="360" w:lineRule="auto"/>
        <w:rPr>
          <w:rFonts w:asciiTheme="majorHAnsi" w:hAnsiTheme="majorHAnsi"/>
          <w:sz w:val="24"/>
          <w:szCs w:val="24"/>
        </w:rPr>
      </w:pPr>
    </w:p>
    <w:p w14:paraId="7E53C346" w14:textId="77777777" w:rsidR="002773C7" w:rsidRPr="0020771E" w:rsidRDefault="002773C7" w:rsidP="0020771E">
      <w:pPr>
        <w:spacing w:line="360" w:lineRule="auto"/>
        <w:rPr>
          <w:rFonts w:asciiTheme="majorHAnsi" w:hAnsi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20771E" w14:paraId="133A8041" w14:textId="77777777" w:rsidTr="00144453">
        <w:tc>
          <w:tcPr>
            <w:tcW w:w="1286" w:type="pct"/>
            <w:shd w:val="clear" w:color="auto" w:fill="C6D9F1"/>
          </w:tcPr>
          <w:p w14:paraId="6E775F58"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bookmarkStart w:id="0" w:name="_Hlk504378400"/>
            <w:r w:rsidRPr="0020771E">
              <w:rPr>
                <w:rFonts w:asciiTheme="majorHAnsi" w:eastAsia="Times New Roman" w:hAnsiTheme="majorHAnsi" w:cs="Times New Roman"/>
                <w:b/>
                <w:sz w:val="24"/>
                <w:szCs w:val="24"/>
              </w:rPr>
              <w:t>Module #</w:t>
            </w:r>
          </w:p>
        </w:tc>
        <w:tc>
          <w:tcPr>
            <w:tcW w:w="3714" w:type="pct"/>
          </w:tcPr>
          <w:p w14:paraId="7491AA2D"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242401001-KM-07,</w:t>
            </w:r>
          </w:p>
        </w:tc>
      </w:tr>
      <w:tr w:rsidR="002773C7" w:rsidRPr="0020771E" w14:paraId="5C0C0F6F" w14:textId="77777777" w:rsidTr="00144453">
        <w:tc>
          <w:tcPr>
            <w:tcW w:w="1286" w:type="pct"/>
            <w:shd w:val="clear" w:color="auto" w:fill="C6D9F1"/>
          </w:tcPr>
          <w:p w14:paraId="4656F37D"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NQF Level</w:t>
            </w:r>
          </w:p>
        </w:tc>
        <w:tc>
          <w:tcPr>
            <w:tcW w:w="3714" w:type="pct"/>
          </w:tcPr>
          <w:p w14:paraId="10C7CCE4"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5</w:t>
            </w:r>
          </w:p>
        </w:tc>
      </w:tr>
      <w:tr w:rsidR="002773C7" w:rsidRPr="0020771E" w14:paraId="1650684E" w14:textId="77777777" w:rsidTr="00144453">
        <w:tc>
          <w:tcPr>
            <w:tcW w:w="1286" w:type="pct"/>
            <w:shd w:val="clear" w:color="auto" w:fill="C6D9F1"/>
          </w:tcPr>
          <w:p w14:paraId="55B8EF89"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Notional hours</w:t>
            </w:r>
          </w:p>
        </w:tc>
        <w:tc>
          <w:tcPr>
            <w:tcW w:w="3714" w:type="pct"/>
          </w:tcPr>
          <w:p w14:paraId="32CA4F49"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60</w:t>
            </w:r>
          </w:p>
        </w:tc>
      </w:tr>
      <w:tr w:rsidR="002773C7" w:rsidRPr="0020771E" w14:paraId="2BBF856C" w14:textId="77777777" w:rsidTr="00144453">
        <w:tc>
          <w:tcPr>
            <w:tcW w:w="1286" w:type="pct"/>
            <w:shd w:val="clear" w:color="auto" w:fill="C6D9F1"/>
          </w:tcPr>
          <w:p w14:paraId="25BE4870"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Credit(s)</w:t>
            </w:r>
          </w:p>
        </w:tc>
        <w:tc>
          <w:tcPr>
            <w:tcW w:w="3714" w:type="pct"/>
          </w:tcPr>
          <w:p w14:paraId="0FEDAAD6"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6</w:t>
            </w:r>
          </w:p>
        </w:tc>
      </w:tr>
      <w:tr w:rsidR="002773C7" w:rsidRPr="0020771E" w14:paraId="0B07EA6F" w14:textId="77777777" w:rsidTr="00144453">
        <w:tc>
          <w:tcPr>
            <w:tcW w:w="1286" w:type="pct"/>
            <w:shd w:val="clear" w:color="auto" w:fill="C6D9F1"/>
          </w:tcPr>
          <w:p w14:paraId="6D6E441E"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Development</w:t>
            </w:r>
          </w:p>
          <w:p w14:paraId="3A382278"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Quality Partner</w:t>
            </w:r>
          </w:p>
        </w:tc>
        <w:tc>
          <w:tcPr>
            <w:tcW w:w="3714" w:type="pct"/>
          </w:tcPr>
          <w:p w14:paraId="168F1AE8" w14:textId="77777777" w:rsidR="002773C7" w:rsidRPr="0020771E" w:rsidRDefault="000B659D"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ETDP SETA</w:t>
            </w:r>
          </w:p>
        </w:tc>
      </w:tr>
      <w:tr w:rsidR="002773C7" w:rsidRPr="0020771E" w14:paraId="1C892E37" w14:textId="77777777" w:rsidTr="00144453">
        <w:tc>
          <w:tcPr>
            <w:tcW w:w="1286" w:type="pct"/>
            <w:shd w:val="clear" w:color="auto" w:fill="C6D9F1"/>
          </w:tcPr>
          <w:p w14:paraId="49B967FC"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 xml:space="preserve">Occupation or </w:t>
            </w:r>
            <w:r w:rsidR="00134A8E" w:rsidRPr="0020771E">
              <w:rPr>
                <w:rFonts w:asciiTheme="majorHAnsi" w:eastAsia="Times New Roman" w:hAnsiTheme="majorHAnsi" w:cs="Times New Roman"/>
                <w:b/>
                <w:sz w:val="24"/>
                <w:szCs w:val="24"/>
              </w:rPr>
              <w:t>Specialization</w:t>
            </w:r>
          </w:p>
        </w:tc>
        <w:tc>
          <w:tcPr>
            <w:tcW w:w="3714" w:type="pct"/>
          </w:tcPr>
          <w:p w14:paraId="68D70935" w14:textId="77777777" w:rsidR="002773C7" w:rsidRPr="0020771E" w:rsidRDefault="000B659D"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242401001;Learning and Development Practitioner</w:t>
            </w:r>
          </w:p>
        </w:tc>
      </w:tr>
      <w:tr w:rsidR="002773C7" w:rsidRPr="0020771E" w14:paraId="0B0B3D96" w14:textId="77777777" w:rsidTr="00144453">
        <w:tc>
          <w:tcPr>
            <w:tcW w:w="1286" w:type="pct"/>
            <w:shd w:val="clear" w:color="auto" w:fill="C6D9F1"/>
          </w:tcPr>
          <w:p w14:paraId="55BEC667"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 xml:space="preserve">Associated Occupation </w:t>
            </w:r>
          </w:p>
        </w:tc>
        <w:tc>
          <w:tcPr>
            <w:tcW w:w="3714" w:type="pct"/>
          </w:tcPr>
          <w:p w14:paraId="12CE2FC4" w14:textId="77777777" w:rsidR="002773C7" w:rsidRPr="0020771E" w:rsidRDefault="000B659D"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242401001;Learning and Development Practitioner</w:t>
            </w:r>
          </w:p>
        </w:tc>
      </w:tr>
      <w:bookmarkEnd w:id="0"/>
    </w:tbl>
    <w:p w14:paraId="49464CA1" w14:textId="77777777" w:rsidR="002773C7" w:rsidRPr="0020771E" w:rsidRDefault="002773C7" w:rsidP="0020771E">
      <w:pPr>
        <w:spacing w:line="360" w:lineRule="auto"/>
        <w:rPr>
          <w:rFonts w:asciiTheme="majorHAnsi" w:hAnsiTheme="majorHAnsi"/>
          <w:sz w:val="24"/>
          <w:szCs w:val="24"/>
        </w:rPr>
      </w:pPr>
    </w:p>
    <w:p w14:paraId="28F68B9D" w14:textId="77777777" w:rsidR="002773C7" w:rsidRPr="0020771E" w:rsidRDefault="002773C7" w:rsidP="0020771E">
      <w:pPr>
        <w:spacing w:line="360" w:lineRule="auto"/>
        <w:rPr>
          <w:rFonts w:asciiTheme="majorHAnsi" w:hAnsiTheme="majorHAnsi"/>
          <w:sz w:val="24"/>
          <w:szCs w:val="24"/>
        </w:rPr>
      </w:pPr>
      <w:r w:rsidRPr="0020771E">
        <w:rPr>
          <w:rFonts w:asciiTheme="majorHAnsi" w:hAnsi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0771E" w14:paraId="480AFE3F"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556D8AF"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bookmarkStart w:id="1" w:name="_Hlk503954940"/>
            <w:r w:rsidRPr="0020771E">
              <w:rPr>
                <w:rFonts w:asciiTheme="majorHAnsi" w:eastAsia="Times New Roman" w:hAnsiTheme="majorHAnsi"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3FC37276"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4F18A05C"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8C88782"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70037126"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552937A3"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ECCD670"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134B91E8"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47B7767C"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948578F"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753DFA4"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43EC661D"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4496011"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6DF75107"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43822919"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F164804"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74D5A75A"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24812061"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36F723B"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157E2C96"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bookmarkEnd w:id="1"/>
    </w:tbl>
    <w:p w14:paraId="08C3F153" w14:textId="77777777" w:rsidR="002773C7" w:rsidRPr="0020771E" w:rsidRDefault="002773C7" w:rsidP="0020771E">
      <w:pPr>
        <w:spacing w:line="360" w:lineRule="auto"/>
        <w:rPr>
          <w:rFonts w:asciiTheme="majorHAnsi" w:hAnsiTheme="majorHAnsi"/>
          <w:sz w:val="24"/>
          <w:szCs w:val="24"/>
        </w:rPr>
      </w:pPr>
    </w:p>
    <w:p w14:paraId="600DA696" w14:textId="77777777" w:rsidR="002773C7" w:rsidRPr="0020771E" w:rsidRDefault="002773C7" w:rsidP="0020771E">
      <w:pPr>
        <w:spacing w:line="360" w:lineRule="auto"/>
        <w:rPr>
          <w:rFonts w:asciiTheme="majorHAnsi" w:hAnsiTheme="majorHAnsi"/>
          <w:sz w:val="24"/>
          <w:szCs w:val="24"/>
        </w:rPr>
      </w:pPr>
      <w:r w:rsidRPr="0020771E">
        <w:rPr>
          <w:rFonts w:asciiTheme="majorHAnsi" w:hAnsiTheme="majorHAnsi"/>
          <w:sz w:val="24"/>
          <w:szCs w:val="24"/>
        </w:rPr>
        <w:br w:type="page"/>
      </w:r>
    </w:p>
    <w:p w14:paraId="06BCB37E" w14:textId="77777777" w:rsidR="002773C7" w:rsidRPr="0020771E" w:rsidRDefault="002773C7" w:rsidP="0020771E">
      <w:pPr>
        <w:shd w:val="clear" w:color="auto" w:fill="9CC2E5" w:themeFill="accent1" w:themeFillTint="99"/>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lastRenderedPageBreak/>
        <w:t>Note to the learner</w:t>
      </w:r>
    </w:p>
    <w:p w14:paraId="103EAAF0" w14:textId="77777777" w:rsidR="002773C7" w:rsidRPr="0020771E" w:rsidRDefault="002773C7" w:rsidP="0020771E">
      <w:pPr>
        <w:tabs>
          <w:tab w:val="left" w:pos="5387"/>
        </w:tabs>
        <w:spacing w:after="0" w:line="360" w:lineRule="auto"/>
        <w:jc w:val="both"/>
        <w:rPr>
          <w:rFonts w:asciiTheme="majorHAnsi" w:eastAsia="Times New Roman" w:hAnsiTheme="majorHAnsi" w:cs="Times New Roman"/>
          <w:color w:val="FF0000"/>
          <w:sz w:val="24"/>
          <w:szCs w:val="24"/>
        </w:rPr>
      </w:pPr>
      <w:r w:rsidRPr="0020771E">
        <w:rPr>
          <w:rFonts w:asciiTheme="majorHAnsi" w:eastAsia="Times New Roman" w:hAnsiTheme="majorHAnsi" w:cs="Times New Roman"/>
          <w:sz w:val="24"/>
          <w:szCs w:val="24"/>
        </w:rPr>
        <w:t>This Learner Guide provides a comprehensive overview of the module. It is designed to improve the skills and knowledge of learners, and thus enabling them to effectively and efficiently complete specific tasks.</w:t>
      </w:r>
    </w:p>
    <w:p w14:paraId="4F307B93"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12018DB2" w14:textId="77777777" w:rsidR="002773C7" w:rsidRPr="0020771E" w:rsidRDefault="004B4B82"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Purpose</w:t>
      </w:r>
    </w:p>
    <w:p w14:paraId="60A5B097" w14:textId="77777777" w:rsidR="002773C7" w:rsidRPr="0020771E" w:rsidRDefault="005D2A72"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hAnsiTheme="majorHAnsi"/>
          <w:sz w:val="24"/>
          <w:szCs w:val="24"/>
        </w:rPr>
        <w:t>The main focus of the learning in this knowledge module is to build an understanding of work based learning and learner support practices.</w:t>
      </w:r>
    </w:p>
    <w:p w14:paraId="4F748345"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43DCD5EB" w14:textId="77777777" w:rsidR="005D2A72" w:rsidRPr="007E085E" w:rsidRDefault="002773C7" w:rsidP="007E085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Topic elements to be covered include</w:t>
      </w:r>
    </w:p>
    <w:p w14:paraId="0A0768C6" w14:textId="77777777" w:rsidR="007E085E" w:rsidRDefault="005D2A72" w:rsidP="007E085E">
      <w:pPr>
        <w:pStyle w:val="Default"/>
        <w:numPr>
          <w:ilvl w:val="0"/>
          <w:numId w:val="1"/>
        </w:numPr>
        <w:spacing w:after="263" w:line="360" w:lineRule="auto"/>
        <w:rPr>
          <w:rFonts w:asciiTheme="majorHAnsi" w:hAnsiTheme="majorHAnsi"/>
        </w:rPr>
      </w:pPr>
      <w:r w:rsidRPr="0020771E">
        <w:rPr>
          <w:rFonts w:asciiTheme="majorHAnsi" w:hAnsiTheme="majorHAnsi"/>
        </w:rPr>
        <w:t>KM-07-KT01: Delivery models (</w:t>
      </w:r>
      <w:r w:rsidR="0020771E" w:rsidRPr="0020771E">
        <w:rPr>
          <w:rFonts w:asciiTheme="majorHAnsi" w:hAnsiTheme="majorHAnsi"/>
        </w:rPr>
        <w:t>learner ships</w:t>
      </w:r>
      <w:r w:rsidRPr="0020771E">
        <w:rPr>
          <w:rFonts w:asciiTheme="majorHAnsi" w:hAnsiTheme="majorHAnsi"/>
        </w:rPr>
        <w:t xml:space="preserve">, internships, experiential learning, apprenticeships) (30%) </w:t>
      </w:r>
    </w:p>
    <w:p w14:paraId="594B2395" w14:textId="77777777" w:rsidR="005D2A72" w:rsidRPr="007E085E" w:rsidRDefault="005D2A72" w:rsidP="007E085E">
      <w:pPr>
        <w:pStyle w:val="Default"/>
        <w:numPr>
          <w:ilvl w:val="0"/>
          <w:numId w:val="1"/>
        </w:numPr>
        <w:spacing w:after="263" w:line="360" w:lineRule="auto"/>
        <w:rPr>
          <w:rFonts w:asciiTheme="majorHAnsi" w:hAnsiTheme="majorHAnsi"/>
        </w:rPr>
      </w:pPr>
      <w:r w:rsidRPr="007E085E">
        <w:rPr>
          <w:rFonts w:asciiTheme="majorHAnsi" w:hAnsiTheme="majorHAnsi"/>
        </w:rPr>
        <w:t xml:space="preserve">KM-07-KT02: Planning and scheduling work based learning (20%) </w:t>
      </w:r>
    </w:p>
    <w:p w14:paraId="32A0F90D" w14:textId="77777777" w:rsidR="005D2A72" w:rsidRPr="0020771E" w:rsidRDefault="005D2A72" w:rsidP="0020771E">
      <w:pPr>
        <w:pStyle w:val="Default"/>
        <w:numPr>
          <w:ilvl w:val="0"/>
          <w:numId w:val="1"/>
        </w:numPr>
        <w:spacing w:after="263" w:line="360" w:lineRule="auto"/>
        <w:rPr>
          <w:rFonts w:asciiTheme="majorHAnsi" w:hAnsiTheme="majorHAnsi"/>
        </w:rPr>
      </w:pPr>
      <w:r w:rsidRPr="0020771E">
        <w:rPr>
          <w:rFonts w:asciiTheme="majorHAnsi" w:hAnsiTheme="majorHAnsi"/>
        </w:rPr>
        <w:t xml:space="preserve">KM-07-KT03: Facilitation of work based learning (30%) </w:t>
      </w:r>
    </w:p>
    <w:p w14:paraId="647F2D1B" w14:textId="77777777" w:rsidR="005D2A72" w:rsidRPr="0020771E" w:rsidRDefault="005D2A72" w:rsidP="0020771E">
      <w:pPr>
        <w:pStyle w:val="Default"/>
        <w:numPr>
          <w:ilvl w:val="0"/>
          <w:numId w:val="1"/>
        </w:numPr>
        <w:spacing w:line="360" w:lineRule="auto"/>
        <w:rPr>
          <w:rFonts w:asciiTheme="majorHAnsi" w:hAnsiTheme="majorHAnsi"/>
        </w:rPr>
      </w:pPr>
      <w:r w:rsidRPr="0020771E">
        <w:rPr>
          <w:rFonts w:asciiTheme="majorHAnsi" w:hAnsiTheme="majorHAnsi"/>
        </w:rPr>
        <w:t xml:space="preserve">KM-07-KT04: Evaluation of learner progression (20%) </w:t>
      </w:r>
    </w:p>
    <w:p w14:paraId="7DF2464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527F6AC9" w14:textId="77777777" w:rsidR="002773C7" w:rsidRPr="0020771E" w:rsidRDefault="002773C7"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Exemptions</w:t>
      </w:r>
    </w:p>
    <w:p w14:paraId="7D307C0E" w14:textId="77777777" w:rsidR="002773C7" w:rsidRPr="0020771E" w:rsidRDefault="0020771E" w:rsidP="0020771E">
      <w:pPr>
        <w:pStyle w:val="ListParagraph"/>
        <w:numPr>
          <w:ilvl w:val="0"/>
          <w:numId w:val="9"/>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No exemptions are currently recognized for any of the listed knowledge modules. An RPL approach is recommended for all listed knowledge modules</w:t>
      </w:r>
    </w:p>
    <w:p w14:paraId="48141986"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46240E02" w14:textId="77777777" w:rsidR="002773C7" w:rsidRPr="0020771E" w:rsidRDefault="004B4B82"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Entry Requirements</w:t>
      </w:r>
    </w:p>
    <w:p w14:paraId="703A44E1" w14:textId="77777777" w:rsidR="002773C7" w:rsidRPr="0020771E" w:rsidRDefault="000B659D" w:rsidP="0020771E">
      <w:p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NQF level 4 with Communication</w:t>
      </w:r>
    </w:p>
    <w:p w14:paraId="067169FF"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47FC11A9" w14:textId="77777777" w:rsidR="002773C7" w:rsidRPr="0020771E" w:rsidRDefault="002773C7"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Provider Accreditation Requirements for the Knowledge Module</w:t>
      </w:r>
    </w:p>
    <w:p w14:paraId="2C3E58D0"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6EE1E3EC"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Physical Requirements</w:t>
      </w:r>
    </w:p>
    <w:p w14:paraId="6AF1D60F" w14:textId="77777777" w:rsidR="0020771E" w:rsidRPr="0020771E" w:rsidRDefault="0020771E" w:rsidP="0020771E">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Learning and development resources aligned to the scope and content of the module</w:t>
      </w:r>
    </w:p>
    <w:p w14:paraId="5AADEB11" w14:textId="77777777" w:rsidR="002773C7" w:rsidRPr="0020771E" w:rsidRDefault="0020771E" w:rsidP="0020771E">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lastRenderedPageBreak/>
        <w:t>Learner assessment resources (database, tools, records)</w:t>
      </w:r>
    </w:p>
    <w:p w14:paraId="5D1FE17C"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Human Resource Requirements:</w:t>
      </w:r>
    </w:p>
    <w:p w14:paraId="2B1A4AFC" w14:textId="77777777" w:rsidR="0020771E" w:rsidRPr="0020771E" w:rsidRDefault="0020771E" w:rsidP="0020771E">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Access to facilitators of learning with subject matter expertise as evident from professional designations, or experiential competence or prior qualifications</w:t>
      </w:r>
    </w:p>
    <w:p w14:paraId="2ABB5F78" w14:textId="77777777" w:rsidR="002773C7" w:rsidRPr="0020771E" w:rsidRDefault="0020771E" w:rsidP="0020771E">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Access to assessment expertise in terms of subject matter related prior learning, experience and credibility</w:t>
      </w:r>
    </w:p>
    <w:p w14:paraId="714A41BA"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Legal Requirements</w:t>
      </w:r>
    </w:p>
    <w:p w14:paraId="48C8732E" w14:textId="77777777" w:rsidR="0020771E" w:rsidRPr="0020771E" w:rsidRDefault="0020771E" w:rsidP="0020771E">
      <w:pPr>
        <w:pStyle w:val="ListParagraph"/>
        <w:numPr>
          <w:ilvl w:val="0"/>
          <w:numId w:val="8"/>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Access to facilities that comply with occupational health and safety standards where contact learning or assessment sessions are delivered</w:t>
      </w:r>
    </w:p>
    <w:p w14:paraId="4CF79A3B" w14:textId="77777777" w:rsidR="004B4B82" w:rsidRPr="0020771E" w:rsidRDefault="004B4B82" w:rsidP="0020771E">
      <w:pPr>
        <w:tabs>
          <w:tab w:val="left" w:pos="5387"/>
        </w:tabs>
        <w:spacing w:after="0" w:line="360" w:lineRule="auto"/>
        <w:rPr>
          <w:rFonts w:asciiTheme="majorHAnsi" w:eastAsia="Times New Roman" w:hAnsiTheme="majorHAnsi" w:cs="Times New Roman"/>
          <w:sz w:val="24"/>
          <w:szCs w:val="24"/>
        </w:rPr>
      </w:pPr>
    </w:p>
    <w:p w14:paraId="51E4A033" w14:textId="77777777" w:rsidR="004B4B82" w:rsidRPr="0020771E" w:rsidRDefault="004B4B82" w:rsidP="0020771E">
      <w:pPr>
        <w:shd w:val="clear" w:color="auto" w:fill="BDD6EE" w:themeFill="accent1" w:themeFillTint="66"/>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Venue, Date and Time:</w:t>
      </w:r>
    </w:p>
    <w:p w14:paraId="4AE2AB67" w14:textId="77777777" w:rsidR="004B4B82" w:rsidRPr="0020771E" w:rsidRDefault="004B4B82" w:rsidP="0020771E">
      <w:pPr>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Consult your facilitator should there be any changes to the venue, date and/or time.</w:t>
      </w:r>
    </w:p>
    <w:p w14:paraId="74D67751" w14:textId="77777777" w:rsidR="002773C7" w:rsidRPr="0020771E" w:rsidRDefault="004B4B82"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sz w:val="24"/>
          <w:szCs w:val="24"/>
        </w:rPr>
        <w:t xml:space="preserve">  Refer to your timetable</w:t>
      </w:r>
    </w:p>
    <w:p w14:paraId="62AC43A7" w14:textId="77777777" w:rsidR="00134A8E" w:rsidRPr="0020771E" w:rsidRDefault="00134A8E" w:rsidP="0020771E">
      <w:pPr>
        <w:shd w:val="clear" w:color="auto" w:fill="9CC2E5" w:themeFill="accent1" w:themeFillTint="99"/>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Assessments</w:t>
      </w:r>
    </w:p>
    <w:p w14:paraId="05AC46CC"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3D24AD84"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3217DA4"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76DDCA80"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p>
    <w:p w14:paraId="35AE8D1B"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Listen carefully to the instructions of the facilitator and do the given activities in the time given to you.</w:t>
      </w:r>
    </w:p>
    <w:p w14:paraId="0468215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29D41353"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47F60F46"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45B4CC24"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20771E" w14:paraId="6037F324"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44086781" w14:textId="77777777" w:rsidR="00134A8E" w:rsidRPr="0020771E" w:rsidRDefault="00134A8E" w:rsidP="0020771E">
            <w:pPr>
              <w:spacing w:after="0" w:line="360" w:lineRule="auto"/>
              <w:rPr>
                <w:rFonts w:asciiTheme="majorHAnsi" w:eastAsia="Calibri" w:hAnsiTheme="majorHAnsi" w:cs="Times New Roman"/>
                <w:b/>
                <w:sz w:val="24"/>
                <w:szCs w:val="24"/>
              </w:rPr>
            </w:pPr>
          </w:p>
          <w:p w14:paraId="1177A552"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rPr>
              <w:drawing>
                <wp:anchor distT="0" distB="0" distL="114300" distR="114300" simplePos="0" relativeHeight="251659264" behindDoc="0" locked="0" layoutInCell="1" allowOverlap="1" wp14:anchorId="5D4E4E1D" wp14:editId="20179A49">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DEC05" w14:textId="77777777" w:rsidR="00134A8E" w:rsidRPr="0020771E" w:rsidRDefault="00134A8E" w:rsidP="0020771E">
            <w:pPr>
              <w:spacing w:after="0" w:line="360" w:lineRule="auto"/>
              <w:rPr>
                <w:rFonts w:asciiTheme="majorHAnsi" w:eastAsia="Calibri" w:hAnsiTheme="majorHAnsi" w:cs="Times New Roman"/>
                <w:b/>
                <w:sz w:val="24"/>
                <w:szCs w:val="24"/>
              </w:rPr>
            </w:pPr>
          </w:p>
          <w:p w14:paraId="4F243C41" w14:textId="77777777" w:rsidR="00134A8E" w:rsidRPr="0020771E" w:rsidRDefault="00134A8E" w:rsidP="0020771E">
            <w:pPr>
              <w:spacing w:after="0" w:line="360" w:lineRule="auto"/>
              <w:rPr>
                <w:rFonts w:asciiTheme="majorHAnsi" w:eastAsia="Calibri" w:hAnsiTheme="majorHAnsi" w:cs="Times New Roman"/>
                <w:b/>
                <w:sz w:val="24"/>
                <w:szCs w:val="24"/>
              </w:rPr>
            </w:pPr>
          </w:p>
          <w:p w14:paraId="3C286B8C"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5B29CD8"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means that other books are available for further information on a particular topic/subject.</w:t>
            </w:r>
          </w:p>
        </w:tc>
      </w:tr>
      <w:tr w:rsidR="00134A8E" w:rsidRPr="0020771E" w14:paraId="67E45F75"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5D77A2D7" w14:textId="77777777" w:rsidR="00134A8E" w:rsidRPr="0020771E" w:rsidRDefault="00134A8E" w:rsidP="0020771E">
            <w:pPr>
              <w:spacing w:after="0" w:line="360" w:lineRule="auto"/>
              <w:rPr>
                <w:rFonts w:asciiTheme="majorHAnsi" w:eastAsia="Calibri" w:hAnsiTheme="majorHAnsi" w:cs="Times New Roman"/>
                <w:noProof/>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0288" behindDoc="0" locked="0" layoutInCell="1" allowOverlap="1" wp14:anchorId="44869DA3" wp14:editId="7B5A5C1D">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AEE81F" w14:textId="77777777" w:rsidR="00134A8E" w:rsidRPr="0020771E" w:rsidRDefault="00134A8E" w:rsidP="0020771E">
            <w:pPr>
              <w:spacing w:after="0" w:line="360" w:lineRule="auto"/>
              <w:rPr>
                <w:rFonts w:asciiTheme="majorHAnsi" w:eastAsia="Calibri" w:hAnsiTheme="majorHAnsi" w:cs="Times New Roman"/>
                <w:b/>
                <w:noProof/>
                <w:sz w:val="24"/>
                <w:szCs w:val="24"/>
              </w:rPr>
            </w:pPr>
            <w:r w:rsidRPr="0020771E">
              <w:rPr>
                <w:rFonts w:asciiTheme="majorHAnsi" w:eastAsia="Calibri" w:hAnsiTheme="majorHAnsi"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E0BDB2F"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refers to any examples, handouts, checklists, etc…</w:t>
            </w:r>
          </w:p>
        </w:tc>
      </w:tr>
      <w:tr w:rsidR="00134A8E" w:rsidRPr="0020771E" w14:paraId="5EC18FEE"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3F2EECFC"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1312" behindDoc="0" locked="0" layoutInCell="1" allowOverlap="1" wp14:anchorId="548CC5EF" wp14:editId="37925657">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466574" w14:textId="77777777" w:rsidR="00134A8E" w:rsidRPr="0020771E" w:rsidRDefault="00134A8E" w:rsidP="0020771E">
            <w:pPr>
              <w:spacing w:after="0" w:line="360" w:lineRule="auto"/>
              <w:rPr>
                <w:rFonts w:asciiTheme="majorHAnsi" w:eastAsia="Calibri" w:hAnsiTheme="majorHAnsi" w:cs="Times New Roman"/>
                <w:b/>
                <w:sz w:val="24"/>
                <w:szCs w:val="24"/>
              </w:rPr>
            </w:pPr>
          </w:p>
          <w:p w14:paraId="55AEC7D0" w14:textId="77777777" w:rsidR="00134A8E" w:rsidRPr="0020771E" w:rsidRDefault="00134A8E" w:rsidP="0020771E">
            <w:pPr>
              <w:spacing w:after="0" w:line="360" w:lineRule="auto"/>
              <w:rPr>
                <w:rFonts w:asciiTheme="majorHAnsi" w:eastAsia="Calibri" w:hAnsiTheme="majorHAnsi" w:cs="Times New Roman"/>
                <w:b/>
                <w:sz w:val="24"/>
                <w:szCs w:val="24"/>
              </w:rPr>
            </w:pPr>
          </w:p>
          <w:p w14:paraId="2D346B01"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EF9C32E"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 xml:space="preserve">This icon represents important information related to a specific topic or section of the guide. </w:t>
            </w:r>
          </w:p>
        </w:tc>
      </w:tr>
      <w:tr w:rsidR="00134A8E" w:rsidRPr="0020771E" w14:paraId="3569E76F"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42BB7D98" w14:textId="77777777" w:rsidR="00134A8E" w:rsidRPr="0020771E" w:rsidRDefault="00134A8E" w:rsidP="0020771E">
            <w:pPr>
              <w:spacing w:after="0" w:line="360" w:lineRule="auto"/>
              <w:rPr>
                <w:rFonts w:asciiTheme="majorHAnsi" w:eastAsia="Calibri" w:hAnsiTheme="majorHAnsi" w:cs="Times New Roman"/>
                <w:noProof/>
                <w:sz w:val="24"/>
                <w:szCs w:val="24"/>
              </w:rPr>
            </w:pPr>
          </w:p>
          <w:p w14:paraId="2DCE0BC8"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2336" behindDoc="0" locked="0" layoutInCell="1" allowOverlap="1" wp14:anchorId="04070C65" wp14:editId="1D73286E">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A6D025" w14:textId="77777777" w:rsidR="00134A8E" w:rsidRPr="0020771E" w:rsidRDefault="00134A8E" w:rsidP="0020771E">
            <w:pPr>
              <w:spacing w:after="0" w:line="360" w:lineRule="auto"/>
              <w:rPr>
                <w:rFonts w:asciiTheme="majorHAnsi" w:eastAsia="Calibri" w:hAnsiTheme="majorHAnsi" w:cs="Times New Roman"/>
                <w:b/>
                <w:sz w:val="24"/>
                <w:szCs w:val="24"/>
              </w:rPr>
            </w:pPr>
          </w:p>
          <w:p w14:paraId="1E8C0924"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Calibri" w:hAnsiTheme="majorHAnsi"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D475A8E"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helps you to be prepared for the learning to follow or assist you to demonstrate understanding of module content. Shows transference of knowledge and skill.</w:t>
            </w:r>
          </w:p>
        </w:tc>
      </w:tr>
      <w:tr w:rsidR="00134A8E" w:rsidRPr="0020771E" w14:paraId="1C44059E"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AE04BE4" w14:textId="77777777" w:rsidR="00134A8E" w:rsidRPr="0020771E" w:rsidRDefault="00134A8E" w:rsidP="0020771E">
            <w:pPr>
              <w:spacing w:after="0" w:line="360" w:lineRule="auto"/>
              <w:rPr>
                <w:rFonts w:asciiTheme="majorHAnsi" w:eastAsia="Calibri" w:hAnsiTheme="majorHAnsi" w:cs="Times New Roman"/>
                <w:noProof/>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3360" behindDoc="0" locked="0" layoutInCell="1" allowOverlap="1" wp14:anchorId="65E2BE1A" wp14:editId="46A3E9D9">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CC3701"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Calibri" w:hAnsiTheme="majorHAnsi" w:cs="Times New Roman"/>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A66FEA6"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represents any exercise to be completed on a specific topic at home by you or in a group.</w:t>
            </w:r>
          </w:p>
        </w:tc>
      </w:tr>
      <w:tr w:rsidR="00134A8E" w:rsidRPr="0020771E" w14:paraId="5A3AAD00"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789833AB"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4384" behindDoc="0" locked="0" layoutInCell="1" allowOverlap="1" wp14:anchorId="194F1415" wp14:editId="09C232D6">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032CF2" w14:textId="77777777" w:rsidR="00134A8E" w:rsidRPr="0020771E" w:rsidRDefault="00134A8E" w:rsidP="0020771E">
            <w:pPr>
              <w:spacing w:after="0" w:line="360" w:lineRule="auto"/>
              <w:rPr>
                <w:rFonts w:asciiTheme="majorHAnsi" w:eastAsia="Calibri" w:hAnsiTheme="majorHAnsi" w:cs="Times New Roman"/>
                <w:b/>
                <w:sz w:val="24"/>
                <w:szCs w:val="24"/>
              </w:rPr>
            </w:pPr>
          </w:p>
          <w:p w14:paraId="4EE00346" w14:textId="77777777" w:rsidR="00134A8E" w:rsidRPr="0020771E" w:rsidRDefault="00134A8E" w:rsidP="0020771E">
            <w:pPr>
              <w:spacing w:after="0" w:line="360" w:lineRule="auto"/>
              <w:rPr>
                <w:rFonts w:asciiTheme="majorHAnsi" w:eastAsia="Calibri" w:hAnsiTheme="majorHAnsi" w:cs="Times New Roman"/>
                <w:b/>
                <w:sz w:val="24"/>
                <w:szCs w:val="24"/>
              </w:rPr>
            </w:pPr>
          </w:p>
          <w:p w14:paraId="02EA7997"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Calibri" w:hAnsiTheme="majorHAnsi"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78474236"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lastRenderedPageBreak/>
              <w:t xml:space="preserve">An important aspect of the assessment process is proof of competence. This can be achieved by observation or a portfolio of evidence should be submitted in </w:t>
            </w:r>
            <w:r w:rsidRPr="0020771E">
              <w:rPr>
                <w:rFonts w:asciiTheme="majorHAnsi" w:eastAsia="Calibri" w:hAnsiTheme="majorHAnsi" w:cs="Times New Roman"/>
                <w:b/>
                <w:sz w:val="24"/>
                <w:szCs w:val="24"/>
              </w:rPr>
              <w:lastRenderedPageBreak/>
              <w:t>this regard.</w:t>
            </w:r>
          </w:p>
          <w:p w14:paraId="60C3FFD6" w14:textId="77777777" w:rsidR="00134A8E" w:rsidRPr="0020771E" w:rsidRDefault="00134A8E" w:rsidP="0020771E">
            <w:pPr>
              <w:spacing w:after="0" w:line="360" w:lineRule="auto"/>
              <w:rPr>
                <w:rFonts w:asciiTheme="majorHAnsi" w:eastAsia="Calibri" w:hAnsiTheme="majorHAnsi" w:cs="Times New Roman"/>
                <w:b/>
                <w:sz w:val="24"/>
                <w:szCs w:val="24"/>
              </w:rPr>
            </w:pPr>
          </w:p>
        </w:tc>
      </w:tr>
      <w:tr w:rsidR="00134A8E" w:rsidRPr="0020771E" w14:paraId="148C9ED6"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180BC74C"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rPr>
              <w:lastRenderedPageBreak/>
              <w:drawing>
                <wp:anchor distT="0" distB="0" distL="114300" distR="114300" simplePos="0" relativeHeight="251665408" behindDoc="0" locked="0" layoutInCell="1" allowOverlap="1" wp14:anchorId="7A2500F9" wp14:editId="78A34A5D">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771E">
              <w:rPr>
                <w:rFonts w:asciiTheme="majorHAnsi" w:eastAsia="Calibri" w:hAnsiTheme="majorHAnsi"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6E97079"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An important aspect of learning is through workplace experience. Activities with this icon can only be completed once a learner is in the workplace</w:t>
            </w:r>
          </w:p>
        </w:tc>
      </w:tr>
      <w:tr w:rsidR="00134A8E" w:rsidRPr="0020771E" w14:paraId="11B5C382"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71B63927" w14:textId="77777777" w:rsidR="00134A8E" w:rsidRPr="0020771E" w:rsidRDefault="00134A8E" w:rsidP="0020771E">
            <w:pPr>
              <w:spacing w:after="0" w:line="360" w:lineRule="auto"/>
              <w:rPr>
                <w:rFonts w:asciiTheme="majorHAnsi" w:eastAsia="Calibri" w:hAnsiTheme="majorHAnsi" w:cs="Times New Roman"/>
                <w:b/>
                <w:noProof/>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6432" behindDoc="0" locked="0" layoutInCell="1" allowOverlap="1" wp14:anchorId="2B68C002" wp14:editId="6C9AC7B1">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771E">
              <w:rPr>
                <w:rFonts w:asciiTheme="majorHAnsi" w:eastAsia="Calibri" w:hAnsiTheme="majorHAnsi"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6BB7CF5"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indicates practical tips you can adopt in the future.</w:t>
            </w:r>
          </w:p>
        </w:tc>
      </w:tr>
      <w:tr w:rsidR="00134A8E" w:rsidRPr="0020771E" w14:paraId="0B621E57"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051A197D"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7456" behindDoc="0" locked="0" layoutInCell="1" allowOverlap="1" wp14:anchorId="08EBCFA2" wp14:editId="598936EB">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771E">
              <w:rPr>
                <w:rFonts w:asciiTheme="majorHAnsi" w:eastAsia="Calibri" w:hAnsiTheme="majorHAnsi"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55079EB"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represents important notes you must remember as part of the learning process.</w:t>
            </w:r>
          </w:p>
        </w:tc>
      </w:tr>
    </w:tbl>
    <w:p w14:paraId="4E32ADA5"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093C7C12"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70706BF1" w14:textId="77777777" w:rsidR="002773C7" w:rsidRDefault="002773C7" w:rsidP="0020771E">
      <w:pPr>
        <w:tabs>
          <w:tab w:val="left" w:pos="5387"/>
        </w:tabs>
        <w:spacing w:after="0" w:line="360" w:lineRule="auto"/>
        <w:rPr>
          <w:rFonts w:asciiTheme="majorHAnsi" w:eastAsia="Times New Roman" w:hAnsiTheme="majorHAnsi" w:cs="Times New Roman"/>
          <w:b/>
          <w:sz w:val="24"/>
          <w:szCs w:val="24"/>
        </w:rPr>
      </w:pPr>
    </w:p>
    <w:p w14:paraId="23E9FF9A"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62FF84F2"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7F9C151F"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21E344F8"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26D99791" w14:textId="77777777" w:rsidR="00D82400" w:rsidRDefault="00D82400">
      <w:pPr>
        <w:rPr>
          <w:rFonts w:asciiTheme="majorHAnsi" w:eastAsia="Times New Roman" w:hAnsiTheme="majorHAnsi" w:cs="Times New Roman"/>
          <w:b/>
          <w:sz w:val="24"/>
          <w:szCs w:val="24"/>
        </w:rPr>
      </w:pPr>
      <w:r>
        <w:rPr>
          <w:rFonts w:asciiTheme="majorHAnsi" w:eastAsia="Times New Roman" w:hAnsiTheme="majorHAnsi" w:cs="Times New Roman"/>
          <w:b/>
          <w:sz w:val="24"/>
          <w:szCs w:val="24"/>
        </w:rPr>
        <w:br w:type="page"/>
      </w:r>
    </w:p>
    <w:p w14:paraId="0498555E"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630FB9C2" w14:textId="77777777" w:rsidR="0020771E" w:rsidRPr="0020771E" w:rsidRDefault="0020771E"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1F09326A" w14:textId="77777777" w:rsidTr="002773C7">
        <w:tc>
          <w:tcPr>
            <w:tcW w:w="9350" w:type="dxa"/>
            <w:shd w:val="clear" w:color="auto" w:fill="9CC2E5" w:themeFill="accent1" w:themeFillTint="99"/>
          </w:tcPr>
          <w:p w14:paraId="6D5633AC" w14:textId="77777777"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hAnsiTheme="majorHAnsi"/>
                <w:b/>
                <w:bCs/>
                <w:sz w:val="24"/>
                <w:szCs w:val="24"/>
              </w:rPr>
              <w:t>KM-07-KT01: Delivery models (learner ships, internships, experiential learning, apprenticeships</w:t>
            </w:r>
          </w:p>
        </w:tc>
      </w:tr>
    </w:tbl>
    <w:p w14:paraId="3EDFD9C2"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59C8A146" w14:textId="77777777" w:rsidTr="002773C7">
        <w:tc>
          <w:tcPr>
            <w:tcW w:w="1345" w:type="dxa"/>
            <w:shd w:val="clear" w:color="auto" w:fill="9CC2E5" w:themeFill="accent1" w:themeFillTint="99"/>
          </w:tcPr>
          <w:p w14:paraId="2CB1CBBB"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KT0101</w:t>
            </w:r>
          </w:p>
        </w:tc>
        <w:tc>
          <w:tcPr>
            <w:tcW w:w="8010" w:type="dxa"/>
          </w:tcPr>
          <w:p w14:paraId="3BE1A01F"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National trends in work based learning</w:t>
            </w:r>
          </w:p>
        </w:tc>
      </w:tr>
      <w:tr w:rsidR="002773C7" w:rsidRPr="0020771E" w14:paraId="0D77BCFE" w14:textId="77777777" w:rsidTr="002773C7">
        <w:tc>
          <w:tcPr>
            <w:tcW w:w="1345" w:type="dxa"/>
            <w:shd w:val="clear" w:color="auto" w:fill="9CC2E5" w:themeFill="accent1" w:themeFillTint="99"/>
          </w:tcPr>
          <w:p w14:paraId="00DFD65F"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KT0102</w:t>
            </w:r>
          </w:p>
        </w:tc>
        <w:tc>
          <w:tcPr>
            <w:tcW w:w="8010" w:type="dxa"/>
          </w:tcPr>
          <w:p w14:paraId="262FA91E"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Concepts that define delivery models</w:t>
            </w:r>
          </w:p>
        </w:tc>
      </w:tr>
      <w:tr w:rsidR="002773C7" w:rsidRPr="0020771E" w14:paraId="62C3F484" w14:textId="77777777" w:rsidTr="002773C7">
        <w:tc>
          <w:tcPr>
            <w:tcW w:w="1345" w:type="dxa"/>
            <w:shd w:val="clear" w:color="auto" w:fill="9CC2E5" w:themeFill="accent1" w:themeFillTint="99"/>
          </w:tcPr>
          <w:p w14:paraId="459A1A20"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KT0103</w:t>
            </w:r>
          </w:p>
        </w:tc>
        <w:tc>
          <w:tcPr>
            <w:tcW w:w="8010" w:type="dxa"/>
          </w:tcPr>
          <w:p w14:paraId="43E92883"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Roles and responsibilities in a work based learning environment</w:t>
            </w:r>
          </w:p>
        </w:tc>
      </w:tr>
    </w:tbl>
    <w:p w14:paraId="12885E5F" w14:textId="77777777" w:rsidR="002773C7" w:rsidRPr="0020771E" w:rsidRDefault="002773C7"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D82400" w:rsidRPr="00D82400" w14:paraId="5206E466" w14:textId="77777777" w:rsidTr="00D82400">
        <w:tc>
          <w:tcPr>
            <w:tcW w:w="1098" w:type="dxa"/>
            <w:shd w:val="clear" w:color="auto" w:fill="9CC2E5" w:themeFill="accent1" w:themeFillTint="99"/>
          </w:tcPr>
          <w:p w14:paraId="14992401" w14:textId="77777777" w:rsidR="00D82400" w:rsidRPr="00D82400" w:rsidRDefault="00D82400" w:rsidP="0020771E">
            <w:pPr>
              <w:spacing w:line="360" w:lineRule="auto"/>
              <w:rPr>
                <w:rFonts w:asciiTheme="majorHAnsi" w:hAnsiTheme="majorHAnsi"/>
                <w:b/>
                <w:sz w:val="24"/>
                <w:szCs w:val="24"/>
              </w:rPr>
            </w:pPr>
            <w:r w:rsidRPr="00D82400">
              <w:rPr>
                <w:rFonts w:asciiTheme="majorHAnsi" w:hAnsiTheme="majorHAnsi"/>
                <w:b/>
                <w:sz w:val="24"/>
                <w:szCs w:val="24"/>
              </w:rPr>
              <w:t>ACTIVITY</w:t>
            </w:r>
          </w:p>
        </w:tc>
      </w:tr>
      <w:tr w:rsidR="00D82400" w:rsidRPr="00D82400" w14:paraId="3A9DE776" w14:textId="77777777" w:rsidTr="00D82400">
        <w:tc>
          <w:tcPr>
            <w:tcW w:w="1098" w:type="dxa"/>
          </w:tcPr>
          <w:p w14:paraId="6D74F312" w14:textId="77777777" w:rsidR="00D82400" w:rsidRPr="00D82400" w:rsidRDefault="00D82400" w:rsidP="0020771E">
            <w:pPr>
              <w:spacing w:line="360" w:lineRule="auto"/>
              <w:rPr>
                <w:rFonts w:asciiTheme="majorHAnsi" w:hAnsiTheme="majorHAnsi"/>
                <w:b/>
                <w:sz w:val="24"/>
                <w:szCs w:val="24"/>
              </w:rPr>
            </w:pPr>
            <w:r w:rsidRPr="00D82400">
              <w:rPr>
                <w:rFonts w:asciiTheme="majorHAnsi" w:hAnsiTheme="majorHAnsi"/>
                <w:b/>
                <w:sz w:val="24"/>
                <w:szCs w:val="24"/>
              </w:rPr>
              <w:t>1</w:t>
            </w:r>
          </w:p>
        </w:tc>
      </w:tr>
    </w:tbl>
    <w:p w14:paraId="56C55F53" w14:textId="77777777" w:rsidR="002773C7" w:rsidRPr="0020771E" w:rsidRDefault="002773C7" w:rsidP="0020771E">
      <w:pPr>
        <w:spacing w:line="360" w:lineRule="auto"/>
        <w:rPr>
          <w:rFonts w:asciiTheme="majorHAnsi" w:hAnsiTheme="majorHAnsi"/>
          <w:sz w:val="24"/>
          <w:szCs w:val="24"/>
        </w:rPr>
      </w:pPr>
    </w:p>
    <w:p w14:paraId="6CE6DB9A" w14:textId="012527AB" w:rsidR="002773C7" w:rsidRPr="002F677F" w:rsidRDefault="002F677F" w:rsidP="0020771E">
      <w:pPr>
        <w:spacing w:line="360" w:lineRule="auto"/>
        <w:rPr>
          <w:rFonts w:asciiTheme="majorHAnsi" w:hAnsiTheme="majorHAnsi"/>
          <w:b/>
          <w:sz w:val="24"/>
          <w:szCs w:val="24"/>
        </w:rPr>
      </w:pPr>
      <w:r w:rsidRPr="002F677F">
        <w:rPr>
          <w:rFonts w:asciiTheme="majorHAnsi" w:hAnsiTheme="majorHAnsi"/>
          <w:b/>
          <w:sz w:val="24"/>
          <w:szCs w:val="24"/>
        </w:rPr>
        <w:t>Outline the w</w:t>
      </w:r>
      <w:r w:rsidRPr="002F677F">
        <w:rPr>
          <w:rFonts w:asciiTheme="majorHAnsi" w:hAnsiTheme="majorHAnsi"/>
          <w:b/>
          <w:sz w:val="24"/>
          <w:szCs w:val="24"/>
        </w:rPr>
        <w:t>ork-based learning strategies</w:t>
      </w:r>
    </w:p>
    <w:p w14:paraId="4EA6B3B6" w14:textId="77777777" w:rsidR="002F677F" w:rsidRPr="002F677F" w:rsidRDefault="002F677F" w:rsidP="002F677F">
      <w:pPr>
        <w:pStyle w:val="ListParagraph"/>
        <w:numPr>
          <w:ilvl w:val="0"/>
          <w:numId w:val="10"/>
        </w:numPr>
        <w:spacing w:line="360" w:lineRule="auto"/>
        <w:rPr>
          <w:rFonts w:asciiTheme="majorHAnsi" w:hAnsiTheme="majorHAnsi"/>
          <w:color w:val="FF0000"/>
          <w:sz w:val="24"/>
          <w:szCs w:val="24"/>
        </w:rPr>
      </w:pPr>
      <w:r w:rsidRPr="002F677F">
        <w:rPr>
          <w:rFonts w:asciiTheme="majorHAnsi" w:hAnsiTheme="majorHAnsi"/>
          <w:b/>
          <w:color w:val="FF0000"/>
          <w:sz w:val="24"/>
          <w:szCs w:val="24"/>
        </w:rPr>
        <w:t>Apprenticeship or internship or mentorship</w:t>
      </w:r>
      <w:r w:rsidRPr="002F677F">
        <w:rPr>
          <w:rFonts w:asciiTheme="majorHAnsi" w:hAnsiTheme="majorHAnsi"/>
          <w:color w:val="FF0000"/>
          <w:sz w:val="24"/>
          <w:szCs w:val="24"/>
        </w:rPr>
        <w:t>: An apprenticeship involves the student working for an employer where he or she is taught and supervised by an experienced employee of the chosen organization. The student is periodically evaluated for progress as per the skills and knowledge acquired, and maybe granted wages accordingly. At the end of the course, the student receives a certificate of service. The student learns in a realistic environment and gets the opportunity to apply his or her knowledge in real world scenarios.</w:t>
      </w:r>
    </w:p>
    <w:p w14:paraId="6C4926CE" w14:textId="77777777" w:rsidR="002F677F" w:rsidRPr="002F677F" w:rsidRDefault="002F677F" w:rsidP="002F677F">
      <w:pPr>
        <w:pStyle w:val="ListParagraph"/>
        <w:numPr>
          <w:ilvl w:val="0"/>
          <w:numId w:val="10"/>
        </w:numPr>
        <w:spacing w:line="360" w:lineRule="auto"/>
        <w:rPr>
          <w:rFonts w:asciiTheme="majorHAnsi" w:hAnsiTheme="majorHAnsi"/>
          <w:color w:val="FF0000"/>
          <w:sz w:val="24"/>
          <w:szCs w:val="24"/>
        </w:rPr>
      </w:pPr>
      <w:r w:rsidRPr="002F677F">
        <w:rPr>
          <w:rFonts w:asciiTheme="majorHAnsi" w:hAnsiTheme="majorHAnsi"/>
          <w:b/>
          <w:color w:val="FF0000"/>
          <w:sz w:val="24"/>
          <w:szCs w:val="24"/>
        </w:rPr>
        <w:t>Job shadowing:</w:t>
      </w:r>
      <w:r w:rsidRPr="002F677F">
        <w:rPr>
          <w:rFonts w:asciiTheme="majorHAnsi" w:hAnsiTheme="majorHAnsi"/>
          <w:color w:val="FF0000"/>
          <w:sz w:val="24"/>
          <w:szCs w:val="24"/>
        </w:rPr>
        <w:t xml:space="preserve"> Job Shadowing is a short-term opportunity that introduces the student to a particular job or career by pairing the student with an employee of the workplace. By following or 'shadowing' the employee, the student gets familiar with the duties and responsibilities associates with that job.</w:t>
      </w:r>
    </w:p>
    <w:p w14:paraId="4D6296EF" w14:textId="77777777" w:rsidR="002F677F" w:rsidRPr="002F677F" w:rsidRDefault="002F677F" w:rsidP="002F677F">
      <w:pPr>
        <w:pStyle w:val="ListParagraph"/>
        <w:numPr>
          <w:ilvl w:val="0"/>
          <w:numId w:val="10"/>
        </w:numPr>
        <w:spacing w:line="360" w:lineRule="auto"/>
        <w:rPr>
          <w:rFonts w:asciiTheme="majorHAnsi" w:hAnsiTheme="majorHAnsi"/>
          <w:color w:val="FF0000"/>
          <w:sz w:val="24"/>
          <w:szCs w:val="24"/>
        </w:rPr>
      </w:pPr>
      <w:r w:rsidRPr="002F677F">
        <w:rPr>
          <w:rFonts w:asciiTheme="majorHAnsi" w:hAnsiTheme="majorHAnsi"/>
          <w:b/>
          <w:color w:val="FF0000"/>
          <w:sz w:val="24"/>
          <w:szCs w:val="24"/>
        </w:rPr>
        <w:t>Business/industry field trip:</w:t>
      </w:r>
      <w:r w:rsidRPr="002F677F">
        <w:rPr>
          <w:rFonts w:asciiTheme="majorHAnsi" w:hAnsiTheme="majorHAnsi"/>
          <w:color w:val="FF0000"/>
          <w:sz w:val="24"/>
          <w:szCs w:val="24"/>
        </w:rPr>
        <w:t xml:space="preserve"> Field trips offer the students an insight in the latest technical advancements and business strategies of an enterprise. Students also gain awareness of the various career opportunities available and understand the driving forces of the community's economy.</w:t>
      </w:r>
    </w:p>
    <w:p w14:paraId="5A453074" w14:textId="77777777" w:rsidR="002F677F" w:rsidRPr="002F677F" w:rsidRDefault="002F677F" w:rsidP="002F677F">
      <w:pPr>
        <w:pStyle w:val="ListParagraph"/>
        <w:numPr>
          <w:ilvl w:val="0"/>
          <w:numId w:val="10"/>
        </w:numPr>
        <w:spacing w:line="360" w:lineRule="auto"/>
        <w:rPr>
          <w:rFonts w:asciiTheme="majorHAnsi" w:hAnsiTheme="majorHAnsi"/>
          <w:color w:val="FF0000"/>
          <w:sz w:val="24"/>
          <w:szCs w:val="24"/>
        </w:rPr>
      </w:pPr>
      <w:r w:rsidRPr="002F677F">
        <w:rPr>
          <w:rFonts w:asciiTheme="majorHAnsi" w:hAnsiTheme="majorHAnsi"/>
          <w:b/>
          <w:color w:val="FF0000"/>
          <w:sz w:val="24"/>
          <w:szCs w:val="24"/>
        </w:rPr>
        <w:lastRenderedPageBreak/>
        <w:t>Entrepreneurial experience:</w:t>
      </w:r>
      <w:r w:rsidRPr="002F677F">
        <w:rPr>
          <w:rFonts w:asciiTheme="majorHAnsi" w:hAnsiTheme="majorHAnsi"/>
          <w:color w:val="FF0000"/>
          <w:sz w:val="24"/>
          <w:szCs w:val="24"/>
        </w:rPr>
        <w:t xml:space="preserve"> This includes setting up of specific business, right from the planning, organizing and managing stage to the risk control and management aspects of a business.</w:t>
      </w:r>
    </w:p>
    <w:p w14:paraId="2B60C5FB" w14:textId="77777777" w:rsidR="002F677F" w:rsidRPr="002F677F" w:rsidRDefault="002F677F" w:rsidP="002F677F">
      <w:pPr>
        <w:pStyle w:val="ListParagraph"/>
        <w:numPr>
          <w:ilvl w:val="0"/>
          <w:numId w:val="10"/>
        </w:numPr>
        <w:spacing w:line="360" w:lineRule="auto"/>
        <w:rPr>
          <w:rFonts w:asciiTheme="majorHAnsi" w:hAnsiTheme="majorHAnsi"/>
          <w:color w:val="FF0000"/>
          <w:sz w:val="24"/>
          <w:szCs w:val="24"/>
        </w:rPr>
      </w:pPr>
      <w:r w:rsidRPr="002F677F">
        <w:rPr>
          <w:rFonts w:asciiTheme="majorHAnsi" w:hAnsiTheme="majorHAnsi"/>
          <w:b/>
          <w:color w:val="FF0000"/>
          <w:sz w:val="24"/>
          <w:szCs w:val="24"/>
        </w:rPr>
        <w:t>Cooperative education:</w:t>
      </w:r>
      <w:r w:rsidRPr="002F677F">
        <w:rPr>
          <w:rFonts w:asciiTheme="majorHAnsi" w:hAnsiTheme="majorHAnsi"/>
          <w:color w:val="FF0000"/>
          <w:sz w:val="24"/>
          <w:szCs w:val="24"/>
        </w:rPr>
        <w:t xml:space="preserve"> In cooperative education, the work experience is planned in conjunction with the technical classroom instruction. This method is used by universities that do not have access to state-of-art equipment required to transact the technical course practically.</w:t>
      </w:r>
    </w:p>
    <w:p w14:paraId="3A9800FB" w14:textId="77777777" w:rsidR="002F677F" w:rsidRPr="002F677F" w:rsidRDefault="002F677F" w:rsidP="002F677F">
      <w:pPr>
        <w:pStyle w:val="ListParagraph"/>
        <w:numPr>
          <w:ilvl w:val="0"/>
          <w:numId w:val="10"/>
        </w:numPr>
        <w:spacing w:line="360" w:lineRule="auto"/>
        <w:rPr>
          <w:rFonts w:asciiTheme="majorHAnsi" w:hAnsiTheme="majorHAnsi"/>
          <w:color w:val="FF0000"/>
          <w:sz w:val="24"/>
          <w:szCs w:val="24"/>
        </w:rPr>
      </w:pPr>
      <w:r w:rsidRPr="002F677F">
        <w:rPr>
          <w:rFonts w:asciiTheme="majorHAnsi" w:hAnsiTheme="majorHAnsi"/>
          <w:b/>
          <w:color w:val="FF0000"/>
          <w:sz w:val="24"/>
          <w:szCs w:val="24"/>
        </w:rPr>
        <w:t>School-based enterprise:</w:t>
      </w:r>
      <w:r w:rsidRPr="002F677F">
        <w:rPr>
          <w:rFonts w:asciiTheme="majorHAnsi" w:hAnsiTheme="majorHAnsi"/>
          <w:color w:val="FF0000"/>
          <w:sz w:val="24"/>
          <w:szCs w:val="24"/>
        </w:rPr>
        <w:t xml:space="preserve"> A school-based enterprise is a simulated or actual business run by the school. It offers students a learning experience by letting them manage the various aspects of a business</w:t>
      </w:r>
    </w:p>
    <w:p w14:paraId="746A6C01" w14:textId="77777777" w:rsidR="002F677F" w:rsidRPr="002F677F" w:rsidRDefault="002F677F" w:rsidP="002F677F">
      <w:pPr>
        <w:pStyle w:val="ListParagraph"/>
        <w:numPr>
          <w:ilvl w:val="0"/>
          <w:numId w:val="10"/>
        </w:numPr>
        <w:spacing w:line="360" w:lineRule="auto"/>
        <w:rPr>
          <w:rFonts w:asciiTheme="majorHAnsi" w:hAnsiTheme="majorHAnsi"/>
          <w:color w:val="FF0000"/>
          <w:sz w:val="24"/>
          <w:szCs w:val="24"/>
        </w:rPr>
      </w:pPr>
      <w:r w:rsidRPr="002F677F">
        <w:rPr>
          <w:rFonts w:asciiTheme="majorHAnsi" w:hAnsiTheme="majorHAnsi"/>
          <w:b/>
          <w:color w:val="FF0000"/>
          <w:sz w:val="24"/>
          <w:szCs w:val="24"/>
        </w:rPr>
        <w:t>Service learning:</w:t>
      </w:r>
      <w:r w:rsidRPr="002F677F">
        <w:rPr>
          <w:rFonts w:asciiTheme="majorHAnsi" w:hAnsiTheme="majorHAnsi"/>
          <w:color w:val="FF0000"/>
          <w:sz w:val="24"/>
          <w:szCs w:val="24"/>
        </w:rPr>
        <w:t xml:space="preserve"> This strategy combines community service with career, where students provide volunteer service to public and non-profit agencies, civic and government offices etc.</w:t>
      </w:r>
    </w:p>
    <w:p w14:paraId="6F8384B9" w14:textId="77777777" w:rsidR="002773C7" w:rsidRPr="0020771E" w:rsidRDefault="002773C7" w:rsidP="0020771E">
      <w:pPr>
        <w:spacing w:line="360" w:lineRule="auto"/>
        <w:rPr>
          <w:rFonts w:asciiTheme="majorHAnsi" w:hAnsiTheme="majorHAnsi"/>
          <w:sz w:val="24"/>
          <w:szCs w:val="24"/>
        </w:rPr>
      </w:pPr>
    </w:p>
    <w:p w14:paraId="2387AF0F" w14:textId="77777777" w:rsidR="002773C7" w:rsidRPr="0020771E" w:rsidRDefault="002773C7" w:rsidP="0020771E">
      <w:pPr>
        <w:spacing w:line="360" w:lineRule="auto"/>
        <w:rPr>
          <w:rFonts w:asciiTheme="majorHAnsi" w:hAnsiTheme="majorHAnsi"/>
          <w:sz w:val="24"/>
          <w:szCs w:val="24"/>
        </w:rPr>
      </w:pPr>
    </w:p>
    <w:p w14:paraId="2753A40C" w14:textId="77777777" w:rsidR="002773C7" w:rsidRPr="0020771E" w:rsidRDefault="002773C7" w:rsidP="0020771E">
      <w:pPr>
        <w:spacing w:line="360" w:lineRule="auto"/>
        <w:rPr>
          <w:rFonts w:asciiTheme="majorHAnsi" w:hAnsiTheme="majorHAnsi"/>
          <w:sz w:val="24"/>
          <w:szCs w:val="24"/>
        </w:rPr>
      </w:pPr>
    </w:p>
    <w:p w14:paraId="4EC932C8" w14:textId="77777777" w:rsidR="002773C7" w:rsidRPr="0020771E" w:rsidRDefault="002773C7" w:rsidP="0020771E">
      <w:pPr>
        <w:spacing w:line="360" w:lineRule="auto"/>
        <w:rPr>
          <w:rFonts w:asciiTheme="majorHAnsi" w:hAnsiTheme="majorHAnsi"/>
          <w:sz w:val="24"/>
          <w:szCs w:val="24"/>
        </w:rPr>
      </w:pPr>
    </w:p>
    <w:p w14:paraId="17ADF501" w14:textId="77777777" w:rsidR="002773C7" w:rsidRPr="0020771E" w:rsidRDefault="002773C7" w:rsidP="0020771E">
      <w:pPr>
        <w:spacing w:line="360" w:lineRule="auto"/>
        <w:rPr>
          <w:rFonts w:asciiTheme="majorHAnsi" w:hAnsiTheme="majorHAnsi"/>
          <w:sz w:val="24"/>
          <w:szCs w:val="24"/>
        </w:rPr>
      </w:pPr>
    </w:p>
    <w:p w14:paraId="079CF2BF" w14:textId="77777777" w:rsidR="002773C7" w:rsidRPr="0020771E" w:rsidRDefault="002773C7" w:rsidP="0020771E">
      <w:pPr>
        <w:spacing w:line="360" w:lineRule="auto"/>
        <w:rPr>
          <w:rFonts w:asciiTheme="majorHAnsi" w:hAnsiTheme="majorHAnsi"/>
          <w:sz w:val="24"/>
          <w:szCs w:val="24"/>
        </w:rPr>
      </w:pPr>
    </w:p>
    <w:p w14:paraId="2B193286" w14:textId="77777777" w:rsidR="002773C7" w:rsidRPr="0020771E" w:rsidRDefault="002773C7" w:rsidP="0020771E">
      <w:pPr>
        <w:spacing w:line="360" w:lineRule="auto"/>
        <w:rPr>
          <w:rFonts w:asciiTheme="majorHAnsi" w:hAnsiTheme="majorHAnsi"/>
          <w:sz w:val="24"/>
          <w:szCs w:val="24"/>
        </w:rPr>
      </w:pPr>
    </w:p>
    <w:p w14:paraId="00B40DCF" w14:textId="77777777" w:rsidR="002773C7" w:rsidRPr="0020771E" w:rsidRDefault="002773C7" w:rsidP="0020771E">
      <w:pPr>
        <w:spacing w:line="360" w:lineRule="auto"/>
        <w:rPr>
          <w:rFonts w:asciiTheme="majorHAnsi" w:hAnsiTheme="majorHAnsi"/>
          <w:sz w:val="24"/>
          <w:szCs w:val="24"/>
        </w:rPr>
      </w:pPr>
      <w:r w:rsidRPr="0020771E">
        <w:rPr>
          <w:rFonts w:asciiTheme="majorHAnsi" w:hAnsiTheme="majorHAnsi"/>
          <w:sz w:val="24"/>
          <w:szCs w:val="24"/>
        </w:rPr>
        <w:br w:type="page"/>
      </w:r>
    </w:p>
    <w:p w14:paraId="16826A7C"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243BD7F0"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423AC4AA" w14:textId="77777777" w:rsidTr="00144453">
        <w:tc>
          <w:tcPr>
            <w:tcW w:w="9350" w:type="dxa"/>
            <w:shd w:val="clear" w:color="auto" w:fill="9CC2E5" w:themeFill="accent1" w:themeFillTint="99"/>
          </w:tcPr>
          <w:p w14:paraId="26D7DCB5" w14:textId="77777777"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KM-07-KT02: Planning and scheduling work based learning (</w:t>
            </w:r>
          </w:p>
        </w:tc>
      </w:tr>
    </w:tbl>
    <w:p w14:paraId="639772BA"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79CB5E0F" w14:textId="77777777" w:rsidTr="00144453">
        <w:tc>
          <w:tcPr>
            <w:tcW w:w="1345" w:type="dxa"/>
            <w:shd w:val="clear" w:color="auto" w:fill="9CC2E5" w:themeFill="accent1" w:themeFillTint="99"/>
          </w:tcPr>
          <w:p w14:paraId="44193E4F"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KT0201</w:t>
            </w:r>
          </w:p>
        </w:tc>
        <w:tc>
          <w:tcPr>
            <w:tcW w:w="8010" w:type="dxa"/>
          </w:tcPr>
          <w:p w14:paraId="17783664"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Work based learning opportunities</w:t>
            </w:r>
          </w:p>
        </w:tc>
      </w:tr>
      <w:tr w:rsidR="002773C7" w:rsidRPr="0020771E" w14:paraId="206B8C7F" w14:textId="77777777" w:rsidTr="00144453">
        <w:tc>
          <w:tcPr>
            <w:tcW w:w="1345" w:type="dxa"/>
            <w:shd w:val="clear" w:color="auto" w:fill="9CC2E5" w:themeFill="accent1" w:themeFillTint="99"/>
          </w:tcPr>
          <w:p w14:paraId="09E46D73"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KT0202</w:t>
            </w:r>
          </w:p>
        </w:tc>
        <w:tc>
          <w:tcPr>
            <w:tcW w:w="8010" w:type="dxa"/>
          </w:tcPr>
          <w:p w14:paraId="1B477BF8"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Scheduling learning in a production or services environment</w:t>
            </w:r>
          </w:p>
        </w:tc>
      </w:tr>
    </w:tbl>
    <w:p w14:paraId="58F9AED7" w14:textId="77777777" w:rsidR="002773C7" w:rsidRPr="0020771E" w:rsidRDefault="002773C7"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D82400" w:rsidRPr="00D82400" w14:paraId="2F22BA40" w14:textId="77777777" w:rsidTr="002B46C3">
        <w:tc>
          <w:tcPr>
            <w:tcW w:w="1098" w:type="dxa"/>
            <w:shd w:val="clear" w:color="auto" w:fill="9CC2E5" w:themeFill="accent1" w:themeFillTint="99"/>
          </w:tcPr>
          <w:p w14:paraId="7DB54B9D" w14:textId="77777777" w:rsidR="00D82400" w:rsidRPr="00D82400" w:rsidRDefault="00D82400" w:rsidP="002B46C3">
            <w:pPr>
              <w:spacing w:line="360" w:lineRule="auto"/>
              <w:rPr>
                <w:rFonts w:asciiTheme="majorHAnsi" w:hAnsiTheme="majorHAnsi"/>
                <w:b/>
                <w:sz w:val="24"/>
                <w:szCs w:val="24"/>
              </w:rPr>
            </w:pPr>
            <w:r w:rsidRPr="00D82400">
              <w:rPr>
                <w:rFonts w:asciiTheme="majorHAnsi" w:hAnsiTheme="majorHAnsi"/>
                <w:b/>
                <w:sz w:val="24"/>
                <w:szCs w:val="24"/>
              </w:rPr>
              <w:t>ACTIVITY</w:t>
            </w:r>
          </w:p>
        </w:tc>
      </w:tr>
      <w:tr w:rsidR="00D82400" w:rsidRPr="00D82400" w14:paraId="3100ED22" w14:textId="77777777" w:rsidTr="002B46C3">
        <w:tc>
          <w:tcPr>
            <w:tcW w:w="1098" w:type="dxa"/>
          </w:tcPr>
          <w:p w14:paraId="624FF899" w14:textId="77777777" w:rsidR="00D82400" w:rsidRPr="00D82400" w:rsidRDefault="00D82400" w:rsidP="002B46C3">
            <w:pPr>
              <w:spacing w:line="360" w:lineRule="auto"/>
              <w:rPr>
                <w:rFonts w:asciiTheme="majorHAnsi" w:hAnsiTheme="majorHAnsi"/>
                <w:b/>
                <w:sz w:val="24"/>
                <w:szCs w:val="24"/>
              </w:rPr>
            </w:pPr>
            <w:r>
              <w:rPr>
                <w:rFonts w:asciiTheme="majorHAnsi" w:hAnsiTheme="majorHAnsi"/>
                <w:b/>
                <w:sz w:val="24"/>
                <w:szCs w:val="24"/>
              </w:rPr>
              <w:t>2</w:t>
            </w:r>
          </w:p>
        </w:tc>
      </w:tr>
    </w:tbl>
    <w:p w14:paraId="0B960C3E" w14:textId="77777777" w:rsidR="002773C7" w:rsidRPr="0020771E" w:rsidRDefault="002773C7" w:rsidP="0020771E">
      <w:pPr>
        <w:spacing w:line="360" w:lineRule="auto"/>
        <w:rPr>
          <w:rFonts w:asciiTheme="majorHAnsi" w:hAnsiTheme="majorHAnsi"/>
          <w:sz w:val="24"/>
          <w:szCs w:val="24"/>
        </w:rPr>
      </w:pPr>
    </w:p>
    <w:p w14:paraId="0D712CD5" w14:textId="71048761" w:rsidR="006E55DF" w:rsidRPr="006E55DF" w:rsidRDefault="006E55DF" w:rsidP="006E55DF">
      <w:pPr>
        <w:spacing w:line="360" w:lineRule="auto"/>
        <w:rPr>
          <w:rFonts w:asciiTheme="majorHAnsi" w:hAnsiTheme="majorHAnsi"/>
          <w:b/>
          <w:sz w:val="24"/>
          <w:szCs w:val="24"/>
        </w:rPr>
      </w:pPr>
      <w:r w:rsidRPr="006E55DF">
        <w:rPr>
          <w:rFonts w:asciiTheme="majorHAnsi" w:hAnsiTheme="majorHAnsi"/>
          <w:b/>
          <w:sz w:val="24"/>
          <w:szCs w:val="24"/>
        </w:rPr>
        <w:t>Express scheduling learning in a production or services environment</w:t>
      </w:r>
    </w:p>
    <w:p w14:paraId="4BE1588C" w14:textId="77777777" w:rsidR="006E55DF" w:rsidRPr="006E55DF" w:rsidRDefault="006E55DF" w:rsidP="006E55DF">
      <w:pPr>
        <w:spacing w:line="360" w:lineRule="auto"/>
        <w:rPr>
          <w:rFonts w:asciiTheme="majorHAnsi" w:hAnsiTheme="majorHAnsi"/>
          <w:color w:val="FF0000"/>
          <w:sz w:val="24"/>
          <w:szCs w:val="24"/>
        </w:rPr>
      </w:pPr>
      <w:r w:rsidRPr="006E55DF">
        <w:rPr>
          <w:rFonts w:asciiTheme="majorHAnsi" w:hAnsiTheme="majorHAnsi"/>
          <w:b/>
          <w:color w:val="FF0000"/>
          <w:sz w:val="24"/>
          <w:szCs w:val="24"/>
        </w:rPr>
        <w:t xml:space="preserve">Flexible scheduling: </w:t>
      </w:r>
      <w:r w:rsidRPr="006E55DF">
        <w:rPr>
          <w:rFonts w:asciiTheme="majorHAnsi" w:hAnsiTheme="majorHAnsi"/>
          <w:color w:val="FF0000"/>
          <w:sz w:val="24"/>
          <w:szCs w:val="24"/>
        </w:rPr>
        <w:t>Many activities related to work-based learning programs don’t fit neatly into a traditional school day. Successful work-based learning programs accommodate real-world learning by block scheduling, providing opportunities for concurrent enrollment in college, university, and trade programs for credit and other flexible scheduling of more traditional coursework.</w:t>
      </w:r>
    </w:p>
    <w:p w14:paraId="1F0EE31B" w14:textId="77777777" w:rsidR="006E55DF" w:rsidRPr="006E55DF" w:rsidRDefault="006E55DF" w:rsidP="006E55DF">
      <w:pPr>
        <w:spacing w:line="360" w:lineRule="auto"/>
        <w:rPr>
          <w:rFonts w:asciiTheme="majorHAnsi" w:hAnsiTheme="majorHAnsi"/>
          <w:b/>
          <w:color w:val="FF0000"/>
          <w:sz w:val="24"/>
          <w:szCs w:val="24"/>
        </w:rPr>
      </w:pPr>
      <w:r w:rsidRPr="006E55DF">
        <w:rPr>
          <w:rFonts w:asciiTheme="majorHAnsi" w:hAnsiTheme="majorHAnsi"/>
          <w:b/>
          <w:color w:val="FF0000"/>
          <w:sz w:val="24"/>
          <w:szCs w:val="24"/>
        </w:rPr>
        <w:t xml:space="preserve">Joint planning time for teachers: </w:t>
      </w:r>
      <w:r w:rsidRPr="006E55DF">
        <w:rPr>
          <w:rFonts w:asciiTheme="majorHAnsi" w:hAnsiTheme="majorHAnsi"/>
          <w:color w:val="FF0000"/>
          <w:sz w:val="24"/>
          <w:szCs w:val="24"/>
        </w:rPr>
        <w:t>This time facilitates the development of integrated curriculum and assessment tools as well as professional development opportunities for teachers to tour industry programs and develop aligned curriculum.</w:t>
      </w:r>
      <w:r w:rsidRPr="006E55DF">
        <w:rPr>
          <w:rFonts w:asciiTheme="majorHAnsi" w:hAnsiTheme="majorHAnsi"/>
          <w:b/>
          <w:color w:val="FF0000"/>
          <w:sz w:val="24"/>
          <w:szCs w:val="24"/>
        </w:rPr>
        <w:t xml:space="preserve"> </w:t>
      </w:r>
    </w:p>
    <w:p w14:paraId="192B3A09" w14:textId="77777777" w:rsidR="006E55DF" w:rsidRPr="006E55DF" w:rsidRDefault="006E55DF" w:rsidP="006E55DF">
      <w:pPr>
        <w:pStyle w:val="ListParagraph"/>
        <w:numPr>
          <w:ilvl w:val="0"/>
          <w:numId w:val="11"/>
        </w:numPr>
        <w:spacing w:line="360" w:lineRule="auto"/>
        <w:rPr>
          <w:rFonts w:asciiTheme="majorHAnsi" w:hAnsiTheme="majorHAnsi"/>
          <w:color w:val="FF0000"/>
          <w:sz w:val="24"/>
          <w:szCs w:val="24"/>
        </w:rPr>
      </w:pPr>
      <w:r w:rsidRPr="006E55DF">
        <w:rPr>
          <w:rFonts w:asciiTheme="majorHAnsi" w:hAnsiTheme="majorHAnsi"/>
          <w:b/>
          <w:color w:val="FF0000"/>
          <w:sz w:val="24"/>
          <w:szCs w:val="24"/>
        </w:rPr>
        <w:t xml:space="preserve">Advocating for policy at the </w:t>
      </w:r>
      <w:r w:rsidRPr="006E55DF">
        <w:rPr>
          <w:rFonts w:asciiTheme="majorHAnsi" w:hAnsiTheme="majorHAnsi"/>
          <w:color w:val="FF0000"/>
          <w:sz w:val="24"/>
          <w:szCs w:val="24"/>
        </w:rPr>
        <w:t xml:space="preserve">state level for legislation that supports the funding of work-based learning initiatives. </w:t>
      </w:r>
    </w:p>
    <w:p w14:paraId="2A5E19BA" w14:textId="77777777" w:rsidR="006E55DF" w:rsidRPr="006E55DF" w:rsidRDefault="006E55DF" w:rsidP="006E55DF">
      <w:pPr>
        <w:pStyle w:val="ListParagraph"/>
        <w:numPr>
          <w:ilvl w:val="0"/>
          <w:numId w:val="11"/>
        </w:numPr>
        <w:spacing w:line="360" w:lineRule="auto"/>
        <w:rPr>
          <w:rFonts w:asciiTheme="majorHAnsi" w:hAnsiTheme="majorHAnsi"/>
          <w:color w:val="FF0000"/>
          <w:sz w:val="24"/>
          <w:szCs w:val="24"/>
        </w:rPr>
      </w:pPr>
      <w:r w:rsidRPr="006E55DF">
        <w:rPr>
          <w:rFonts w:asciiTheme="majorHAnsi" w:hAnsiTheme="majorHAnsi"/>
          <w:b/>
          <w:color w:val="FF0000"/>
          <w:sz w:val="24"/>
          <w:szCs w:val="24"/>
        </w:rPr>
        <w:t xml:space="preserve">Developing partnerships </w:t>
      </w:r>
      <w:r w:rsidRPr="006E55DF">
        <w:rPr>
          <w:rFonts w:asciiTheme="majorHAnsi" w:hAnsiTheme="majorHAnsi"/>
          <w:color w:val="FF0000"/>
          <w:sz w:val="24"/>
          <w:szCs w:val="24"/>
        </w:rPr>
        <w:t>with the business community that generate long-term commitments to bring students into the workplace for meaningful experiences;</w:t>
      </w:r>
    </w:p>
    <w:p w14:paraId="770DBFB8" w14:textId="77777777" w:rsidR="006E55DF" w:rsidRPr="006E55DF" w:rsidRDefault="006E55DF" w:rsidP="006E55DF">
      <w:pPr>
        <w:pStyle w:val="ListParagraph"/>
        <w:numPr>
          <w:ilvl w:val="0"/>
          <w:numId w:val="11"/>
        </w:numPr>
        <w:spacing w:line="360" w:lineRule="auto"/>
        <w:rPr>
          <w:rFonts w:asciiTheme="majorHAnsi" w:hAnsiTheme="majorHAnsi"/>
          <w:color w:val="FF0000"/>
          <w:sz w:val="24"/>
          <w:szCs w:val="24"/>
        </w:rPr>
      </w:pPr>
      <w:r w:rsidRPr="006E55DF">
        <w:rPr>
          <w:rFonts w:asciiTheme="majorHAnsi" w:hAnsiTheme="majorHAnsi"/>
          <w:b/>
          <w:color w:val="FF0000"/>
          <w:sz w:val="24"/>
          <w:szCs w:val="24"/>
        </w:rPr>
        <w:t xml:space="preserve">Funding professional </w:t>
      </w:r>
      <w:r w:rsidRPr="006E55DF">
        <w:rPr>
          <w:rFonts w:asciiTheme="majorHAnsi" w:hAnsiTheme="majorHAnsi"/>
          <w:color w:val="FF0000"/>
          <w:sz w:val="24"/>
          <w:szCs w:val="24"/>
        </w:rPr>
        <w:t>development that allows teams of teachers and leaders to develop links between the work-based learning experiences and classroom instruction</w:t>
      </w:r>
    </w:p>
    <w:p w14:paraId="6580FD2A" w14:textId="77777777" w:rsidR="006E55DF" w:rsidRDefault="006E55DF" w:rsidP="006E55DF">
      <w:pPr>
        <w:spacing w:line="360" w:lineRule="auto"/>
        <w:rPr>
          <w:rFonts w:asciiTheme="majorHAnsi" w:hAnsiTheme="majorHAnsi"/>
          <w:b/>
          <w:sz w:val="24"/>
          <w:szCs w:val="24"/>
        </w:rPr>
      </w:pPr>
    </w:p>
    <w:p w14:paraId="166066AA" w14:textId="1B4FE49D" w:rsidR="002773C7" w:rsidRPr="0020771E" w:rsidRDefault="002773C7" w:rsidP="0020771E">
      <w:pPr>
        <w:spacing w:line="360" w:lineRule="auto"/>
        <w:rPr>
          <w:rFonts w:asciiTheme="majorHAnsi" w:hAnsiTheme="majorHAnsi"/>
          <w:sz w:val="24"/>
          <w:szCs w:val="24"/>
        </w:rPr>
      </w:pPr>
    </w:p>
    <w:p w14:paraId="7C691E64"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67BFEFDE"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4E2C5210" w14:textId="77777777" w:rsidTr="00144453">
        <w:tc>
          <w:tcPr>
            <w:tcW w:w="9350" w:type="dxa"/>
            <w:shd w:val="clear" w:color="auto" w:fill="9CC2E5" w:themeFill="accent1" w:themeFillTint="99"/>
          </w:tcPr>
          <w:p w14:paraId="4961F622" w14:textId="77777777"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KM-07-KT03: Facilitation of work based learning</w:t>
            </w:r>
          </w:p>
        </w:tc>
      </w:tr>
    </w:tbl>
    <w:p w14:paraId="1555163E"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231A8601" w14:textId="77777777" w:rsidTr="00144453">
        <w:tc>
          <w:tcPr>
            <w:tcW w:w="1345" w:type="dxa"/>
            <w:shd w:val="clear" w:color="auto" w:fill="9CC2E5" w:themeFill="accent1" w:themeFillTint="99"/>
          </w:tcPr>
          <w:p w14:paraId="7C43079C"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KT0301</w:t>
            </w:r>
          </w:p>
        </w:tc>
        <w:tc>
          <w:tcPr>
            <w:tcW w:w="8010" w:type="dxa"/>
          </w:tcPr>
          <w:p w14:paraId="3287E9A1"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Coaching principles and practices</w:t>
            </w:r>
          </w:p>
        </w:tc>
      </w:tr>
      <w:tr w:rsidR="002773C7" w:rsidRPr="0020771E" w14:paraId="39A613B5" w14:textId="77777777" w:rsidTr="00144453">
        <w:tc>
          <w:tcPr>
            <w:tcW w:w="1345" w:type="dxa"/>
            <w:shd w:val="clear" w:color="auto" w:fill="9CC2E5" w:themeFill="accent1" w:themeFillTint="99"/>
          </w:tcPr>
          <w:p w14:paraId="4B9396E6"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KT0302</w:t>
            </w:r>
          </w:p>
        </w:tc>
        <w:tc>
          <w:tcPr>
            <w:tcW w:w="8010" w:type="dxa"/>
          </w:tcPr>
          <w:p w14:paraId="7810DAC8"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Mentorship principles and practices</w:t>
            </w:r>
          </w:p>
        </w:tc>
      </w:tr>
      <w:tr w:rsidR="002773C7" w:rsidRPr="0020771E" w14:paraId="4CABF706" w14:textId="77777777" w:rsidTr="00144453">
        <w:tc>
          <w:tcPr>
            <w:tcW w:w="1345" w:type="dxa"/>
            <w:shd w:val="clear" w:color="auto" w:fill="9CC2E5" w:themeFill="accent1" w:themeFillTint="99"/>
          </w:tcPr>
          <w:p w14:paraId="334ED3B5"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KT0303</w:t>
            </w:r>
          </w:p>
        </w:tc>
        <w:tc>
          <w:tcPr>
            <w:tcW w:w="8010" w:type="dxa"/>
          </w:tcPr>
          <w:p w14:paraId="721C8F22"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Job instruction principles and practices</w:t>
            </w:r>
          </w:p>
        </w:tc>
      </w:tr>
    </w:tbl>
    <w:p w14:paraId="7C307BC4" w14:textId="77777777" w:rsidR="002773C7" w:rsidRPr="0020771E" w:rsidRDefault="002773C7"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D82400" w:rsidRPr="00D82400" w14:paraId="5332F7B5" w14:textId="77777777" w:rsidTr="002B46C3">
        <w:tc>
          <w:tcPr>
            <w:tcW w:w="1098" w:type="dxa"/>
            <w:shd w:val="clear" w:color="auto" w:fill="9CC2E5" w:themeFill="accent1" w:themeFillTint="99"/>
          </w:tcPr>
          <w:p w14:paraId="6B08FF31" w14:textId="77777777" w:rsidR="00D82400" w:rsidRPr="00D82400" w:rsidRDefault="00D82400" w:rsidP="002B46C3">
            <w:pPr>
              <w:spacing w:line="360" w:lineRule="auto"/>
              <w:rPr>
                <w:rFonts w:asciiTheme="majorHAnsi" w:hAnsiTheme="majorHAnsi"/>
                <w:b/>
                <w:sz w:val="24"/>
                <w:szCs w:val="24"/>
              </w:rPr>
            </w:pPr>
            <w:r w:rsidRPr="00D82400">
              <w:rPr>
                <w:rFonts w:asciiTheme="majorHAnsi" w:hAnsiTheme="majorHAnsi"/>
                <w:b/>
                <w:sz w:val="24"/>
                <w:szCs w:val="24"/>
              </w:rPr>
              <w:t>ACTIVITY</w:t>
            </w:r>
          </w:p>
        </w:tc>
      </w:tr>
      <w:tr w:rsidR="00D82400" w:rsidRPr="00D82400" w14:paraId="22D30A58" w14:textId="77777777" w:rsidTr="002B46C3">
        <w:tc>
          <w:tcPr>
            <w:tcW w:w="1098" w:type="dxa"/>
          </w:tcPr>
          <w:p w14:paraId="6555ACCC" w14:textId="77777777" w:rsidR="00D82400" w:rsidRPr="00D82400" w:rsidRDefault="00D82400" w:rsidP="002B46C3">
            <w:pPr>
              <w:spacing w:line="360" w:lineRule="auto"/>
              <w:rPr>
                <w:rFonts w:asciiTheme="majorHAnsi" w:hAnsiTheme="majorHAnsi"/>
                <w:b/>
                <w:sz w:val="24"/>
                <w:szCs w:val="24"/>
              </w:rPr>
            </w:pPr>
            <w:r>
              <w:rPr>
                <w:rFonts w:asciiTheme="majorHAnsi" w:hAnsiTheme="majorHAnsi"/>
                <w:b/>
                <w:sz w:val="24"/>
                <w:szCs w:val="24"/>
              </w:rPr>
              <w:t>3</w:t>
            </w:r>
          </w:p>
        </w:tc>
      </w:tr>
    </w:tbl>
    <w:p w14:paraId="15408B97" w14:textId="77777777" w:rsidR="002773C7" w:rsidRPr="0020771E" w:rsidRDefault="002773C7" w:rsidP="0020771E">
      <w:pPr>
        <w:spacing w:line="360" w:lineRule="auto"/>
        <w:rPr>
          <w:rFonts w:asciiTheme="majorHAnsi" w:hAnsiTheme="majorHAnsi"/>
          <w:sz w:val="24"/>
          <w:szCs w:val="24"/>
        </w:rPr>
      </w:pPr>
    </w:p>
    <w:p w14:paraId="5B46A8EF" w14:textId="77777777" w:rsidR="00CE799A" w:rsidRDefault="00CE799A" w:rsidP="00CE799A">
      <w:pPr>
        <w:spacing w:line="360" w:lineRule="auto"/>
        <w:rPr>
          <w:rFonts w:asciiTheme="majorHAnsi" w:hAnsiTheme="majorHAnsi"/>
          <w:b/>
          <w:sz w:val="24"/>
          <w:szCs w:val="24"/>
        </w:rPr>
      </w:pPr>
      <w:r w:rsidRPr="00CE799A">
        <w:rPr>
          <w:rFonts w:asciiTheme="majorHAnsi" w:hAnsiTheme="majorHAnsi"/>
          <w:b/>
          <w:sz w:val="24"/>
          <w:szCs w:val="24"/>
        </w:rPr>
        <w:t xml:space="preserve">Outline the principles of </w:t>
      </w:r>
      <w:r w:rsidRPr="00CE799A">
        <w:rPr>
          <w:rFonts w:asciiTheme="majorHAnsi" w:hAnsiTheme="majorHAnsi"/>
          <w:b/>
          <w:sz w:val="24"/>
          <w:szCs w:val="24"/>
        </w:rPr>
        <w:t>effective coaching</w:t>
      </w:r>
      <w:r w:rsidRPr="00CE799A">
        <w:rPr>
          <w:rFonts w:asciiTheme="majorHAnsi" w:hAnsiTheme="majorHAnsi"/>
          <w:b/>
          <w:sz w:val="24"/>
          <w:szCs w:val="24"/>
        </w:rPr>
        <w:t xml:space="preserve"> </w:t>
      </w:r>
    </w:p>
    <w:p w14:paraId="6221C5F7" w14:textId="77777777" w:rsidR="00CE799A" w:rsidRPr="00CE799A" w:rsidRDefault="00CE799A" w:rsidP="00CE799A">
      <w:pPr>
        <w:spacing w:line="360" w:lineRule="auto"/>
        <w:rPr>
          <w:rFonts w:asciiTheme="majorHAnsi" w:hAnsiTheme="majorHAnsi"/>
          <w:b/>
          <w:color w:val="FF0000"/>
          <w:sz w:val="24"/>
          <w:szCs w:val="24"/>
        </w:rPr>
      </w:pPr>
      <w:r w:rsidRPr="00CE799A">
        <w:rPr>
          <w:rFonts w:asciiTheme="majorHAnsi" w:hAnsiTheme="majorHAnsi"/>
          <w:b/>
          <w:color w:val="FF0000"/>
          <w:sz w:val="24"/>
          <w:szCs w:val="24"/>
        </w:rPr>
        <w:t>Principle 1: Coach the individual</w:t>
      </w:r>
    </w:p>
    <w:p w14:paraId="44B47D2E" w14:textId="77777777" w:rsidR="00CE799A" w:rsidRPr="00CE799A" w:rsidRDefault="00CE799A" w:rsidP="00CE799A">
      <w:pPr>
        <w:spacing w:line="360" w:lineRule="auto"/>
        <w:rPr>
          <w:rFonts w:asciiTheme="majorHAnsi" w:hAnsiTheme="majorHAnsi"/>
          <w:b/>
          <w:color w:val="FF0000"/>
          <w:sz w:val="24"/>
          <w:szCs w:val="24"/>
        </w:rPr>
      </w:pPr>
      <w:r w:rsidRPr="00CE799A">
        <w:rPr>
          <w:rFonts w:asciiTheme="majorHAnsi" w:hAnsiTheme="majorHAnsi"/>
          <w:color w:val="FF0000"/>
          <w:sz w:val="24"/>
          <w:szCs w:val="24"/>
        </w:rPr>
        <w:t>The first basic for coaching is to realize that each person is different and they will require some individual attention and approach in regards to feedback and coaching. Some people will be very sensitive and embarrassed to be given constructive feedback and may need some confidence boosting first while others will want to dispense with any pleasantries and get straight into areas of improvement. You can’t treat these two extremes the same.</w:t>
      </w:r>
    </w:p>
    <w:p w14:paraId="05F0D2A0" w14:textId="77777777" w:rsidR="00CE799A" w:rsidRPr="00CE799A" w:rsidRDefault="00CE799A" w:rsidP="00CE799A">
      <w:pPr>
        <w:spacing w:line="360" w:lineRule="auto"/>
        <w:rPr>
          <w:rFonts w:asciiTheme="majorHAnsi" w:hAnsiTheme="majorHAnsi"/>
          <w:b/>
          <w:color w:val="FF0000"/>
          <w:sz w:val="24"/>
          <w:szCs w:val="24"/>
        </w:rPr>
      </w:pPr>
      <w:r w:rsidRPr="00CE799A">
        <w:rPr>
          <w:rFonts w:asciiTheme="majorHAnsi" w:hAnsiTheme="majorHAnsi"/>
          <w:b/>
          <w:color w:val="FF0000"/>
          <w:sz w:val="24"/>
          <w:szCs w:val="24"/>
        </w:rPr>
        <w:t>Principle 2: Know several ways to coach</w:t>
      </w:r>
    </w:p>
    <w:p w14:paraId="02CD0564" w14:textId="77777777" w:rsidR="00CE799A" w:rsidRPr="00CE799A" w:rsidRDefault="00CE799A" w:rsidP="00CE799A">
      <w:pPr>
        <w:spacing w:line="360" w:lineRule="auto"/>
        <w:rPr>
          <w:rFonts w:asciiTheme="majorHAnsi" w:hAnsiTheme="majorHAnsi"/>
          <w:color w:val="FF0000"/>
          <w:sz w:val="24"/>
          <w:szCs w:val="24"/>
        </w:rPr>
      </w:pPr>
      <w:r w:rsidRPr="00CE799A">
        <w:rPr>
          <w:rFonts w:asciiTheme="majorHAnsi" w:hAnsiTheme="majorHAnsi"/>
          <w:color w:val="FF0000"/>
          <w:sz w:val="24"/>
          <w:szCs w:val="24"/>
        </w:rPr>
        <w:t>As a coach and knowing the key point about coaching others as individuals means that you then need to have several tools in your toolkit of ways to effectively coach and give feedback. It’s impossible to coach everyone the way they need to be coached with one dimensional coaching abilities. It’s your role to look for, learn and master several coaching skills and feedback techniques.</w:t>
      </w:r>
    </w:p>
    <w:p w14:paraId="0E5488D3" w14:textId="77777777" w:rsidR="00CE799A" w:rsidRPr="00CE799A" w:rsidRDefault="00CE799A" w:rsidP="00CE799A">
      <w:pPr>
        <w:spacing w:line="360" w:lineRule="auto"/>
        <w:rPr>
          <w:rFonts w:asciiTheme="majorHAnsi" w:hAnsiTheme="majorHAnsi"/>
          <w:b/>
          <w:color w:val="FF0000"/>
          <w:sz w:val="24"/>
          <w:szCs w:val="24"/>
        </w:rPr>
      </w:pPr>
    </w:p>
    <w:p w14:paraId="5C11C2AC" w14:textId="77777777" w:rsidR="00CE799A" w:rsidRPr="00CE799A" w:rsidRDefault="00CE799A" w:rsidP="00CE799A">
      <w:pPr>
        <w:spacing w:line="360" w:lineRule="auto"/>
        <w:rPr>
          <w:rFonts w:asciiTheme="majorHAnsi" w:hAnsiTheme="majorHAnsi"/>
          <w:b/>
          <w:color w:val="FF0000"/>
          <w:sz w:val="24"/>
          <w:szCs w:val="24"/>
        </w:rPr>
      </w:pPr>
      <w:r w:rsidRPr="00CE799A">
        <w:rPr>
          <w:rFonts w:asciiTheme="majorHAnsi" w:hAnsiTheme="majorHAnsi"/>
          <w:b/>
          <w:color w:val="FF0000"/>
          <w:sz w:val="24"/>
          <w:szCs w:val="24"/>
        </w:rPr>
        <w:t>Principle 3: Don’t just tick boxes</w:t>
      </w:r>
    </w:p>
    <w:p w14:paraId="30661DEC" w14:textId="77777777" w:rsidR="00CE799A" w:rsidRPr="00CE799A" w:rsidRDefault="00CE799A" w:rsidP="00CE799A">
      <w:pPr>
        <w:spacing w:line="360" w:lineRule="auto"/>
        <w:rPr>
          <w:rFonts w:asciiTheme="majorHAnsi" w:hAnsiTheme="majorHAnsi"/>
          <w:color w:val="FF0000"/>
          <w:sz w:val="24"/>
          <w:szCs w:val="24"/>
        </w:rPr>
      </w:pPr>
      <w:r w:rsidRPr="00CE799A">
        <w:rPr>
          <w:rFonts w:asciiTheme="majorHAnsi" w:hAnsiTheme="majorHAnsi"/>
          <w:color w:val="FF0000"/>
          <w:sz w:val="24"/>
          <w:szCs w:val="24"/>
        </w:rPr>
        <w:lastRenderedPageBreak/>
        <w:t>Several people have said to me in the past, “Well, we do coaching regularly but nothing changes.” If you consider motivation factors, most people see the need for coaching so they do it but in some cases the coach isn't converted. The coach doesn't have buy-in and at best ‘accepts’ that it needs to be done. The problem isn't often with the person being coached – it’s with the coach!</w:t>
      </w:r>
    </w:p>
    <w:p w14:paraId="4174A0F4" w14:textId="77777777" w:rsidR="00CE799A" w:rsidRPr="00CE799A" w:rsidRDefault="00CE799A" w:rsidP="00CE799A">
      <w:pPr>
        <w:spacing w:line="360" w:lineRule="auto"/>
        <w:rPr>
          <w:rFonts w:asciiTheme="majorHAnsi" w:hAnsiTheme="majorHAnsi"/>
          <w:b/>
          <w:color w:val="FF0000"/>
          <w:sz w:val="24"/>
          <w:szCs w:val="24"/>
        </w:rPr>
      </w:pPr>
      <w:r w:rsidRPr="00CE799A">
        <w:rPr>
          <w:rFonts w:asciiTheme="majorHAnsi" w:hAnsiTheme="majorHAnsi"/>
          <w:b/>
          <w:color w:val="FF0000"/>
          <w:sz w:val="24"/>
          <w:szCs w:val="24"/>
        </w:rPr>
        <w:t>Principle 4: Encourage self-discovery</w:t>
      </w:r>
    </w:p>
    <w:p w14:paraId="324F932C" w14:textId="77777777" w:rsidR="00CE799A" w:rsidRPr="00CE799A" w:rsidRDefault="00CE799A" w:rsidP="00CE799A">
      <w:pPr>
        <w:spacing w:line="360" w:lineRule="auto"/>
        <w:rPr>
          <w:rFonts w:asciiTheme="majorHAnsi" w:hAnsiTheme="majorHAnsi"/>
          <w:color w:val="FF0000"/>
          <w:sz w:val="24"/>
          <w:szCs w:val="24"/>
        </w:rPr>
      </w:pPr>
      <w:r w:rsidRPr="00CE799A">
        <w:rPr>
          <w:rFonts w:asciiTheme="majorHAnsi" w:hAnsiTheme="majorHAnsi"/>
          <w:color w:val="FF0000"/>
          <w:sz w:val="24"/>
          <w:szCs w:val="24"/>
        </w:rPr>
        <w:t>There are varying schools of thought on what ratio the coaching discussion should go in regards to the amount of talking from each party. It wouldn't be too far off the mark though to suggest 70:30 in favor of the person being coached, where the coach effectively facilitates the discussion to draw out information and suggestions from the person being coached.</w:t>
      </w:r>
    </w:p>
    <w:p w14:paraId="5BE05F86" w14:textId="77777777" w:rsidR="00CE799A" w:rsidRPr="00CE799A" w:rsidRDefault="00CE799A" w:rsidP="00CE799A">
      <w:pPr>
        <w:spacing w:line="360" w:lineRule="auto"/>
        <w:rPr>
          <w:rFonts w:asciiTheme="majorHAnsi" w:hAnsiTheme="majorHAnsi"/>
          <w:b/>
          <w:color w:val="FF0000"/>
          <w:sz w:val="24"/>
          <w:szCs w:val="24"/>
        </w:rPr>
      </w:pPr>
      <w:r w:rsidRPr="00CE799A">
        <w:rPr>
          <w:rFonts w:asciiTheme="majorHAnsi" w:hAnsiTheme="majorHAnsi"/>
          <w:b/>
          <w:color w:val="FF0000"/>
          <w:sz w:val="24"/>
          <w:szCs w:val="24"/>
        </w:rPr>
        <w:t>Principle 5: Look for the cause</w:t>
      </w:r>
    </w:p>
    <w:p w14:paraId="49BD70EB" w14:textId="77777777" w:rsidR="00CE799A" w:rsidRPr="00CE799A" w:rsidRDefault="00CE799A" w:rsidP="00CE799A">
      <w:pPr>
        <w:spacing w:line="360" w:lineRule="auto"/>
        <w:rPr>
          <w:rFonts w:asciiTheme="majorHAnsi" w:hAnsiTheme="majorHAnsi"/>
          <w:b/>
          <w:color w:val="FF0000"/>
          <w:sz w:val="24"/>
          <w:szCs w:val="24"/>
        </w:rPr>
      </w:pPr>
      <w:r w:rsidRPr="00CE799A">
        <w:rPr>
          <w:rFonts w:asciiTheme="majorHAnsi" w:hAnsiTheme="majorHAnsi"/>
          <w:color w:val="FF0000"/>
          <w:sz w:val="24"/>
          <w:szCs w:val="24"/>
        </w:rPr>
        <w:t>Most of us will have been to the doctor in order to be diagnosed for a cure to be given for a number of symptoms we have. You will have noticed on a trip to the doctors or hospital that you will have been asked a number of questions. These questions are designed to help determine</w:t>
      </w:r>
      <w:r w:rsidRPr="00CE799A">
        <w:rPr>
          <w:rFonts w:asciiTheme="majorHAnsi" w:hAnsiTheme="majorHAnsi"/>
          <w:b/>
          <w:color w:val="FF0000"/>
          <w:sz w:val="24"/>
          <w:szCs w:val="24"/>
        </w:rPr>
        <w:t xml:space="preserve"> </w:t>
      </w:r>
      <w:r w:rsidRPr="00CE799A">
        <w:rPr>
          <w:rFonts w:asciiTheme="majorHAnsi" w:hAnsiTheme="majorHAnsi"/>
          <w:color w:val="FF0000"/>
          <w:sz w:val="24"/>
          <w:szCs w:val="24"/>
        </w:rPr>
        <w:t>the cause of the symptoms that you have. Let’s say you have constant headaches. There could be lots of causes for those headaches but if the doctor merely prescribed a headache tablet for example, it may not cure you of the headaches ongoing. The doctor’s job is to identify what is causing the headaches and treat that cause – not just the symptom.</w:t>
      </w:r>
    </w:p>
    <w:p w14:paraId="6837ED7B" w14:textId="40CBB66A" w:rsidR="002773C7" w:rsidRPr="00CE799A" w:rsidRDefault="002773C7" w:rsidP="00CE799A">
      <w:pPr>
        <w:spacing w:line="360" w:lineRule="auto"/>
        <w:rPr>
          <w:rFonts w:asciiTheme="majorHAnsi" w:hAnsiTheme="majorHAnsi"/>
          <w:b/>
          <w:sz w:val="24"/>
          <w:szCs w:val="24"/>
        </w:rPr>
      </w:pPr>
      <w:r w:rsidRPr="00CE799A">
        <w:rPr>
          <w:rFonts w:asciiTheme="majorHAnsi" w:hAnsiTheme="majorHAnsi"/>
          <w:b/>
          <w:sz w:val="24"/>
          <w:szCs w:val="24"/>
        </w:rPr>
        <w:br w:type="page"/>
      </w:r>
    </w:p>
    <w:p w14:paraId="449E686B"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0C189775"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4254A5DF" w14:textId="77777777" w:rsidTr="00144453">
        <w:tc>
          <w:tcPr>
            <w:tcW w:w="9350" w:type="dxa"/>
            <w:shd w:val="clear" w:color="auto" w:fill="9CC2E5" w:themeFill="accent1" w:themeFillTint="99"/>
          </w:tcPr>
          <w:p w14:paraId="26771B07" w14:textId="77777777"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KM-07-KT04: Evaluation of learner progression</w:t>
            </w:r>
          </w:p>
        </w:tc>
      </w:tr>
    </w:tbl>
    <w:p w14:paraId="446C3D0B"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0DA8AC54" w14:textId="77777777" w:rsidTr="00144453">
        <w:tc>
          <w:tcPr>
            <w:tcW w:w="1345" w:type="dxa"/>
            <w:shd w:val="clear" w:color="auto" w:fill="9CC2E5" w:themeFill="accent1" w:themeFillTint="99"/>
          </w:tcPr>
          <w:p w14:paraId="076EB175"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KT0401</w:t>
            </w:r>
          </w:p>
        </w:tc>
        <w:tc>
          <w:tcPr>
            <w:tcW w:w="8010" w:type="dxa"/>
          </w:tcPr>
          <w:p w14:paraId="3C9A7C8B"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Establishing evaluation tasks</w:t>
            </w:r>
          </w:p>
        </w:tc>
      </w:tr>
      <w:tr w:rsidR="002773C7" w:rsidRPr="0020771E" w14:paraId="202F795D" w14:textId="77777777" w:rsidTr="00144453">
        <w:tc>
          <w:tcPr>
            <w:tcW w:w="1345" w:type="dxa"/>
            <w:shd w:val="clear" w:color="auto" w:fill="9CC2E5" w:themeFill="accent1" w:themeFillTint="99"/>
          </w:tcPr>
          <w:p w14:paraId="1AE7BF1A"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KT0402</w:t>
            </w:r>
          </w:p>
        </w:tc>
        <w:tc>
          <w:tcPr>
            <w:tcW w:w="8010" w:type="dxa"/>
          </w:tcPr>
          <w:p w14:paraId="479AFED8"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Evaluation criteria and standards</w:t>
            </w:r>
          </w:p>
        </w:tc>
      </w:tr>
      <w:tr w:rsidR="002773C7" w:rsidRPr="0020771E" w14:paraId="0738BDC4" w14:textId="77777777" w:rsidTr="00144453">
        <w:tc>
          <w:tcPr>
            <w:tcW w:w="1345" w:type="dxa"/>
            <w:shd w:val="clear" w:color="auto" w:fill="9CC2E5" w:themeFill="accent1" w:themeFillTint="99"/>
          </w:tcPr>
          <w:p w14:paraId="584FB6E8"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KT0403</w:t>
            </w:r>
          </w:p>
        </w:tc>
        <w:tc>
          <w:tcPr>
            <w:tcW w:w="8010" w:type="dxa"/>
          </w:tcPr>
          <w:p w14:paraId="0528BF1F"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Work based learning evidence</w:t>
            </w:r>
          </w:p>
        </w:tc>
      </w:tr>
      <w:tr w:rsidR="002773C7" w:rsidRPr="0020771E" w14:paraId="3EC803C4" w14:textId="77777777" w:rsidTr="00144453">
        <w:tc>
          <w:tcPr>
            <w:tcW w:w="1345" w:type="dxa"/>
            <w:shd w:val="clear" w:color="auto" w:fill="9CC2E5" w:themeFill="accent1" w:themeFillTint="99"/>
          </w:tcPr>
          <w:p w14:paraId="26D4AFD8"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KT0404</w:t>
            </w:r>
          </w:p>
        </w:tc>
        <w:tc>
          <w:tcPr>
            <w:tcW w:w="8010" w:type="dxa"/>
          </w:tcPr>
          <w:p w14:paraId="486AA851"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Documentation and reporting standards and requirements</w:t>
            </w:r>
          </w:p>
        </w:tc>
      </w:tr>
    </w:tbl>
    <w:p w14:paraId="1A4555F7" w14:textId="77777777" w:rsidR="002773C7" w:rsidRPr="0020771E" w:rsidRDefault="002773C7"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D82400" w:rsidRPr="00D82400" w14:paraId="194831E0" w14:textId="77777777" w:rsidTr="002B46C3">
        <w:tc>
          <w:tcPr>
            <w:tcW w:w="1098" w:type="dxa"/>
            <w:shd w:val="clear" w:color="auto" w:fill="9CC2E5" w:themeFill="accent1" w:themeFillTint="99"/>
          </w:tcPr>
          <w:p w14:paraId="70FF9D73" w14:textId="77777777" w:rsidR="00D82400" w:rsidRPr="00D82400" w:rsidRDefault="00D82400" w:rsidP="002B46C3">
            <w:pPr>
              <w:spacing w:line="360" w:lineRule="auto"/>
              <w:rPr>
                <w:rFonts w:asciiTheme="majorHAnsi" w:hAnsiTheme="majorHAnsi"/>
                <w:b/>
                <w:sz w:val="24"/>
                <w:szCs w:val="24"/>
              </w:rPr>
            </w:pPr>
            <w:r w:rsidRPr="00D82400">
              <w:rPr>
                <w:rFonts w:asciiTheme="majorHAnsi" w:hAnsiTheme="majorHAnsi"/>
                <w:b/>
                <w:sz w:val="24"/>
                <w:szCs w:val="24"/>
              </w:rPr>
              <w:t>ACTIVITY</w:t>
            </w:r>
          </w:p>
        </w:tc>
      </w:tr>
      <w:tr w:rsidR="00D82400" w:rsidRPr="00D82400" w14:paraId="10A18AD5" w14:textId="77777777" w:rsidTr="002B46C3">
        <w:tc>
          <w:tcPr>
            <w:tcW w:w="1098" w:type="dxa"/>
          </w:tcPr>
          <w:p w14:paraId="01AE23D6" w14:textId="77777777" w:rsidR="00D82400" w:rsidRPr="00D82400" w:rsidRDefault="00D82400" w:rsidP="002B46C3">
            <w:pPr>
              <w:spacing w:line="360" w:lineRule="auto"/>
              <w:rPr>
                <w:rFonts w:asciiTheme="majorHAnsi" w:hAnsiTheme="majorHAnsi"/>
                <w:b/>
                <w:sz w:val="24"/>
                <w:szCs w:val="24"/>
              </w:rPr>
            </w:pPr>
            <w:r>
              <w:rPr>
                <w:rFonts w:asciiTheme="majorHAnsi" w:hAnsiTheme="majorHAnsi"/>
                <w:b/>
                <w:sz w:val="24"/>
                <w:szCs w:val="24"/>
              </w:rPr>
              <w:t>4</w:t>
            </w:r>
          </w:p>
        </w:tc>
      </w:tr>
    </w:tbl>
    <w:p w14:paraId="2057C8CD" w14:textId="77777777" w:rsidR="0020771E" w:rsidRDefault="0020771E" w:rsidP="0020771E">
      <w:pPr>
        <w:spacing w:line="360" w:lineRule="auto"/>
        <w:rPr>
          <w:rFonts w:asciiTheme="majorHAnsi" w:hAnsiTheme="majorHAnsi"/>
          <w:sz w:val="24"/>
          <w:szCs w:val="24"/>
        </w:rPr>
      </w:pPr>
    </w:p>
    <w:p w14:paraId="5E20D6BA" w14:textId="5558CFD6" w:rsidR="005953A3" w:rsidRPr="005953A3" w:rsidRDefault="00F155DE" w:rsidP="005953A3">
      <w:pPr>
        <w:spacing w:line="360" w:lineRule="auto"/>
        <w:rPr>
          <w:rFonts w:asciiTheme="majorHAnsi" w:hAnsiTheme="majorHAnsi"/>
          <w:b/>
          <w:sz w:val="24"/>
          <w:szCs w:val="24"/>
        </w:rPr>
      </w:pPr>
      <w:r>
        <w:rPr>
          <w:rFonts w:asciiTheme="majorHAnsi" w:hAnsiTheme="majorHAnsi"/>
          <w:b/>
          <w:sz w:val="24"/>
          <w:szCs w:val="24"/>
        </w:rPr>
        <w:t>Suggest ways of</w:t>
      </w:r>
      <w:r w:rsidR="005953A3" w:rsidRPr="005953A3">
        <w:rPr>
          <w:rFonts w:asciiTheme="majorHAnsi" w:hAnsiTheme="majorHAnsi"/>
          <w:b/>
          <w:sz w:val="24"/>
          <w:szCs w:val="24"/>
        </w:rPr>
        <w:t xml:space="preserve"> </w:t>
      </w:r>
      <w:r w:rsidR="005953A3" w:rsidRPr="005953A3">
        <w:rPr>
          <w:rFonts w:asciiTheme="majorHAnsi" w:hAnsiTheme="majorHAnsi"/>
          <w:b/>
          <w:sz w:val="24"/>
          <w:szCs w:val="24"/>
        </w:rPr>
        <w:t>evalua</w:t>
      </w:r>
      <w:r w:rsidR="005953A3" w:rsidRPr="005953A3">
        <w:rPr>
          <w:rFonts w:asciiTheme="majorHAnsi" w:hAnsiTheme="majorHAnsi"/>
          <w:b/>
          <w:sz w:val="24"/>
          <w:szCs w:val="24"/>
        </w:rPr>
        <w:t>ti</w:t>
      </w:r>
      <w:r>
        <w:rPr>
          <w:rFonts w:asciiTheme="majorHAnsi" w:hAnsiTheme="majorHAnsi"/>
          <w:b/>
          <w:sz w:val="24"/>
          <w:szCs w:val="24"/>
        </w:rPr>
        <w:t>ng</w:t>
      </w:r>
      <w:bookmarkStart w:id="2" w:name="_GoBack"/>
      <w:bookmarkEnd w:id="2"/>
      <w:r w:rsidR="005953A3" w:rsidRPr="005953A3">
        <w:rPr>
          <w:rFonts w:asciiTheme="majorHAnsi" w:hAnsiTheme="majorHAnsi"/>
          <w:b/>
          <w:sz w:val="24"/>
          <w:szCs w:val="24"/>
        </w:rPr>
        <w:t xml:space="preserve"> students’ performance on tasks</w:t>
      </w:r>
    </w:p>
    <w:p w14:paraId="66497B99" w14:textId="77777777" w:rsidR="005953A3" w:rsidRPr="005953A3" w:rsidRDefault="005953A3" w:rsidP="005953A3">
      <w:pPr>
        <w:spacing w:line="360" w:lineRule="auto"/>
        <w:rPr>
          <w:rFonts w:asciiTheme="majorHAnsi" w:hAnsiTheme="majorHAnsi"/>
          <w:color w:val="FF0000"/>
          <w:sz w:val="24"/>
          <w:szCs w:val="24"/>
        </w:rPr>
      </w:pPr>
      <w:r w:rsidRPr="005953A3">
        <w:rPr>
          <w:rFonts w:asciiTheme="majorHAnsi" w:hAnsiTheme="majorHAnsi"/>
          <w:color w:val="FF0000"/>
          <w:sz w:val="24"/>
          <w:szCs w:val="24"/>
        </w:rPr>
        <w:t>Student responses to assignments and assessment items that have a single, correct answer can be scored using an answer key or a scanning machine. In contrast, performance tasks are typically open-ended and therefore, teachers must use their judgment when evaluating the resulting products and performances. By using a set of established criteria aligned with targeted standards/outcomes, it is possible to fairly, consistently, and defensibly make a judgment-based evaluation of students’ products and performances. In this blog, we’ll explore: 1) four types of criteria for evaluating student performance on open-ended tasks; 2) four kinds of criterion-based evaluation tools; 3) practical processes for designing effective rubrics, and, 4) benefits to teachers and students.</w:t>
      </w:r>
    </w:p>
    <w:p w14:paraId="2C1789AE" w14:textId="77777777" w:rsidR="005953A3" w:rsidRPr="005953A3" w:rsidRDefault="005953A3" w:rsidP="005953A3">
      <w:pPr>
        <w:spacing w:line="360" w:lineRule="auto"/>
        <w:rPr>
          <w:rFonts w:asciiTheme="majorHAnsi" w:hAnsiTheme="majorHAnsi"/>
          <w:b/>
          <w:color w:val="FF0000"/>
          <w:sz w:val="24"/>
          <w:szCs w:val="24"/>
        </w:rPr>
      </w:pPr>
      <w:r w:rsidRPr="005953A3">
        <w:rPr>
          <w:rFonts w:asciiTheme="majorHAnsi" w:hAnsiTheme="majorHAnsi"/>
          <w:b/>
          <w:color w:val="FF0000"/>
          <w:sz w:val="24"/>
          <w:szCs w:val="24"/>
        </w:rPr>
        <w:t>Steps to a Performance Evaluation System</w:t>
      </w:r>
    </w:p>
    <w:p w14:paraId="1E099DAC" w14:textId="77777777" w:rsidR="005953A3" w:rsidRPr="005953A3" w:rsidRDefault="005953A3" w:rsidP="005953A3">
      <w:pPr>
        <w:spacing w:line="360" w:lineRule="auto"/>
        <w:rPr>
          <w:rFonts w:asciiTheme="majorHAnsi" w:hAnsiTheme="majorHAnsi"/>
          <w:color w:val="FF0000"/>
          <w:sz w:val="24"/>
          <w:szCs w:val="24"/>
        </w:rPr>
      </w:pPr>
      <w:r w:rsidRPr="005953A3">
        <w:rPr>
          <w:rFonts w:asciiTheme="majorHAnsi" w:hAnsiTheme="majorHAnsi"/>
          <w:color w:val="FF0000"/>
          <w:sz w:val="24"/>
          <w:szCs w:val="24"/>
        </w:rPr>
        <w:t xml:space="preserve">Performance evaluations, which provide employers with an opportunity to assess their employees’ contributions to the organization, are essential to developing a powerful work team. Yet in some practices, physicians and practice managers put performance evaluations on the back burner, often because of the time involved and the difficulties of critiquing employees with </w:t>
      </w:r>
      <w:r w:rsidRPr="005953A3">
        <w:rPr>
          <w:rFonts w:asciiTheme="majorHAnsi" w:hAnsiTheme="majorHAnsi"/>
          <w:color w:val="FF0000"/>
          <w:sz w:val="24"/>
          <w:szCs w:val="24"/>
        </w:rPr>
        <w:lastRenderedPageBreak/>
        <w:t>whom they work closely. The benefits of performance evaluations outweigh these challenges, though. When done as part of a performance evaluation system that includes a standard evaluation form, standard performance measures, guidelines for delivering feedback, and disciplinary procedures, performance evaluations can enforce the acceptable boundaries of performance, promote staff recognition and effective communication and motivate individuals to do their best for themselves and the practice</w:t>
      </w:r>
    </w:p>
    <w:p w14:paraId="71F29192" w14:textId="77777777" w:rsidR="005953A3" w:rsidRPr="005953A3" w:rsidRDefault="005953A3" w:rsidP="005953A3">
      <w:pPr>
        <w:spacing w:line="360" w:lineRule="auto"/>
        <w:rPr>
          <w:rFonts w:asciiTheme="majorHAnsi" w:hAnsiTheme="majorHAnsi"/>
          <w:b/>
          <w:color w:val="FF0000"/>
          <w:sz w:val="24"/>
          <w:szCs w:val="24"/>
        </w:rPr>
      </w:pPr>
      <w:r w:rsidRPr="005953A3">
        <w:rPr>
          <w:rFonts w:asciiTheme="majorHAnsi" w:hAnsiTheme="majorHAnsi"/>
          <w:b/>
          <w:color w:val="FF0000"/>
          <w:sz w:val="24"/>
          <w:szCs w:val="24"/>
        </w:rPr>
        <w:t>Develop an evaluation form.</w:t>
      </w:r>
    </w:p>
    <w:p w14:paraId="01C76FD3" w14:textId="77777777" w:rsidR="005953A3" w:rsidRPr="005953A3" w:rsidRDefault="005953A3" w:rsidP="005953A3">
      <w:pPr>
        <w:spacing w:line="360" w:lineRule="auto"/>
        <w:rPr>
          <w:rFonts w:asciiTheme="majorHAnsi" w:hAnsiTheme="majorHAnsi"/>
          <w:color w:val="FF0000"/>
          <w:sz w:val="24"/>
          <w:szCs w:val="24"/>
        </w:rPr>
      </w:pPr>
      <w:r w:rsidRPr="005953A3">
        <w:rPr>
          <w:rFonts w:asciiTheme="majorHAnsi" w:hAnsiTheme="majorHAnsi"/>
          <w:color w:val="FF0000"/>
          <w:sz w:val="24"/>
          <w:szCs w:val="24"/>
        </w:rPr>
        <w:t>Performance evaluations should be conducted fairly, consistently and objectively to protect your employees’ interests and to protect your practice from legal liability. One way to ensure consistency is to use a standard evaluation form for each evaluation. The form you use should focus only on the essential job performance areas. Limiting these areas of focus makes the assessment more meaningful and relevant and allows you and the employee to address the issues that matter most. You don’t need to cover every detail of an employee’s performance in an evaluation.</w:t>
      </w:r>
    </w:p>
    <w:p w14:paraId="5B19A6C6" w14:textId="77777777" w:rsidR="005953A3" w:rsidRPr="005953A3" w:rsidRDefault="005953A3" w:rsidP="005953A3">
      <w:pPr>
        <w:spacing w:line="360" w:lineRule="auto"/>
        <w:rPr>
          <w:rFonts w:asciiTheme="majorHAnsi" w:hAnsiTheme="majorHAnsi"/>
          <w:b/>
          <w:color w:val="FF0000"/>
          <w:sz w:val="24"/>
          <w:szCs w:val="24"/>
        </w:rPr>
      </w:pPr>
      <w:r w:rsidRPr="005953A3">
        <w:rPr>
          <w:rFonts w:asciiTheme="majorHAnsi" w:hAnsiTheme="majorHAnsi"/>
          <w:b/>
          <w:color w:val="FF0000"/>
          <w:sz w:val="24"/>
          <w:szCs w:val="24"/>
        </w:rPr>
        <w:t>Identify performance measures.</w:t>
      </w:r>
    </w:p>
    <w:p w14:paraId="021FF1D2" w14:textId="77777777" w:rsidR="005953A3" w:rsidRPr="005953A3" w:rsidRDefault="005953A3" w:rsidP="005953A3">
      <w:pPr>
        <w:spacing w:line="360" w:lineRule="auto"/>
        <w:rPr>
          <w:rFonts w:asciiTheme="majorHAnsi" w:hAnsiTheme="majorHAnsi"/>
          <w:color w:val="FF0000"/>
          <w:sz w:val="24"/>
          <w:szCs w:val="24"/>
        </w:rPr>
      </w:pPr>
      <w:r w:rsidRPr="005953A3">
        <w:rPr>
          <w:rFonts w:asciiTheme="majorHAnsi" w:hAnsiTheme="majorHAnsi"/>
          <w:color w:val="FF0000"/>
          <w:sz w:val="24"/>
          <w:szCs w:val="24"/>
        </w:rPr>
        <w:t>Standard performance measures, which allow you to evaluate an employee’s job performance objectively, can cut down on the amount of time and stress involved in filling out the evaluation form. Although developing these measures can be one of the more time-consuming parts of creating a performance evaluation system, it’s also one of the most powerful.</w:t>
      </w:r>
    </w:p>
    <w:p w14:paraId="1E8CC162" w14:textId="77777777" w:rsidR="005953A3" w:rsidRPr="005953A3" w:rsidRDefault="005953A3" w:rsidP="005953A3">
      <w:pPr>
        <w:spacing w:line="360" w:lineRule="auto"/>
        <w:rPr>
          <w:rFonts w:asciiTheme="majorHAnsi" w:hAnsiTheme="majorHAnsi"/>
          <w:b/>
          <w:color w:val="FF0000"/>
          <w:sz w:val="24"/>
          <w:szCs w:val="24"/>
        </w:rPr>
      </w:pPr>
    </w:p>
    <w:p w14:paraId="18E39A02" w14:textId="77777777" w:rsidR="005953A3" w:rsidRPr="005953A3" w:rsidRDefault="005953A3" w:rsidP="005953A3">
      <w:pPr>
        <w:spacing w:line="360" w:lineRule="auto"/>
        <w:rPr>
          <w:rFonts w:asciiTheme="majorHAnsi" w:hAnsiTheme="majorHAnsi"/>
          <w:b/>
          <w:color w:val="FF0000"/>
          <w:sz w:val="24"/>
          <w:szCs w:val="24"/>
        </w:rPr>
      </w:pPr>
      <w:r w:rsidRPr="005953A3">
        <w:rPr>
          <w:rFonts w:asciiTheme="majorHAnsi" w:hAnsiTheme="majorHAnsi"/>
          <w:b/>
          <w:color w:val="FF0000"/>
          <w:sz w:val="24"/>
          <w:szCs w:val="24"/>
        </w:rPr>
        <w:t>Set guidelines for feedback.</w:t>
      </w:r>
    </w:p>
    <w:p w14:paraId="6E97FB31" w14:textId="77777777" w:rsidR="005953A3" w:rsidRPr="005953A3" w:rsidRDefault="005953A3" w:rsidP="005953A3">
      <w:pPr>
        <w:spacing w:line="360" w:lineRule="auto"/>
        <w:rPr>
          <w:rFonts w:asciiTheme="majorHAnsi" w:hAnsiTheme="majorHAnsi"/>
          <w:color w:val="FF0000"/>
          <w:sz w:val="24"/>
          <w:szCs w:val="24"/>
        </w:rPr>
      </w:pPr>
      <w:r w:rsidRPr="005953A3">
        <w:rPr>
          <w:rFonts w:asciiTheme="majorHAnsi" w:hAnsiTheme="majorHAnsi"/>
          <w:color w:val="FF0000"/>
          <w:sz w:val="24"/>
          <w:szCs w:val="24"/>
        </w:rPr>
        <w:t>Feedback is what performance evaluations are all about. So, before you implement your performance evaluation system, make sure that everyone who will be conducting evaluations knows what kind of feedback to give, how to give it and how to get it from the employee in return.</w:t>
      </w:r>
    </w:p>
    <w:p w14:paraId="578C770B" w14:textId="77777777" w:rsidR="005953A3" w:rsidRPr="005953A3" w:rsidRDefault="005953A3" w:rsidP="005953A3">
      <w:pPr>
        <w:spacing w:line="360" w:lineRule="auto"/>
        <w:rPr>
          <w:rFonts w:asciiTheme="majorHAnsi" w:hAnsiTheme="majorHAnsi"/>
          <w:color w:val="FF0000"/>
          <w:sz w:val="24"/>
          <w:szCs w:val="24"/>
        </w:rPr>
      </w:pPr>
      <w:r w:rsidRPr="005953A3">
        <w:rPr>
          <w:rFonts w:asciiTheme="majorHAnsi" w:hAnsiTheme="majorHAnsi"/>
          <w:b/>
          <w:color w:val="FF0000"/>
          <w:sz w:val="24"/>
          <w:szCs w:val="24"/>
        </w:rPr>
        <w:lastRenderedPageBreak/>
        <w:t>Give balanced feedback.</w:t>
      </w:r>
      <w:r w:rsidRPr="005953A3">
        <w:rPr>
          <w:rFonts w:asciiTheme="majorHAnsi" w:hAnsiTheme="majorHAnsi"/>
          <w:color w:val="FF0000"/>
          <w:sz w:val="24"/>
          <w:szCs w:val="24"/>
        </w:rPr>
        <w:t xml:space="preserve"> Don’t make the common error of glossing over an employee’s deficiencies and focusing only on his or her strengths. It is by understanding their weaknesses that employees can take ownership of their performance and role in the practice. And when given the support they need to make improvements in these areas, employees learn to take pride in their work and are willing to take on new challenges with confidence.</w:t>
      </w:r>
    </w:p>
    <w:p w14:paraId="42BFBEBB" w14:textId="77777777" w:rsidR="005953A3" w:rsidRPr="005953A3" w:rsidRDefault="005953A3" w:rsidP="005953A3">
      <w:pPr>
        <w:spacing w:line="360" w:lineRule="auto"/>
        <w:rPr>
          <w:rFonts w:asciiTheme="majorHAnsi" w:hAnsiTheme="majorHAnsi"/>
          <w:color w:val="FF0000"/>
          <w:sz w:val="24"/>
          <w:szCs w:val="24"/>
        </w:rPr>
      </w:pPr>
      <w:r w:rsidRPr="005953A3">
        <w:rPr>
          <w:rFonts w:asciiTheme="majorHAnsi" w:hAnsiTheme="majorHAnsi"/>
          <w:b/>
          <w:color w:val="FF0000"/>
          <w:sz w:val="24"/>
          <w:szCs w:val="24"/>
        </w:rPr>
        <w:t>Outline expectations for improvement.</w:t>
      </w:r>
      <w:r w:rsidRPr="005953A3">
        <w:rPr>
          <w:rFonts w:asciiTheme="majorHAnsi" w:hAnsiTheme="majorHAnsi"/>
          <w:color w:val="FF0000"/>
          <w:sz w:val="24"/>
          <w:szCs w:val="24"/>
        </w:rPr>
        <w:t xml:space="preserve"> When you address areas where improvement is needed, outline your expectations for improvement and how you intend to help the employee meet them. For example, if an employee is speaking harshly with other employees and does not seem tolerant with patients, give the employee some examples of his or her behavior and offer some suggestions to resolve the problem, such as role-playing sessions or a communication skills/customer-service workshop or seminar. Define the boundaries by letting the employee know what is acceptable and what will not be tolerated, and then establish a plan for monitoring performance and re-evaluating the employee.</w:t>
      </w:r>
    </w:p>
    <w:p w14:paraId="5104EEB0" w14:textId="77777777" w:rsidR="005953A3" w:rsidRPr="005953A3" w:rsidRDefault="005953A3" w:rsidP="005953A3">
      <w:pPr>
        <w:spacing w:line="360" w:lineRule="auto"/>
        <w:rPr>
          <w:rFonts w:asciiTheme="majorHAnsi" w:hAnsiTheme="majorHAnsi"/>
          <w:b/>
          <w:color w:val="FF0000"/>
          <w:sz w:val="24"/>
          <w:szCs w:val="24"/>
        </w:rPr>
      </w:pPr>
    </w:p>
    <w:p w14:paraId="4545BF36" w14:textId="77777777" w:rsidR="005953A3" w:rsidRPr="005953A3" w:rsidRDefault="005953A3" w:rsidP="005953A3">
      <w:pPr>
        <w:spacing w:line="360" w:lineRule="auto"/>
        <w:rPr>
          <w:rFonts w:asciiTheme="majorHAnsi" w:hAnsiTheme="majorHAnsi"/>
          <w:color w:val="FF0000"/>
          <w:sz w:val="24"/>
          <w:szCs w:val="24"/>
        </w:rPr>
      </w:pPr>
      <w:r w:rsidRPr="005953A3">
        <w:rPr>
          <w:rFonts w:asciiTheme="majorHAnsi" w:hAnsiTheme="majorHAnsi"/>
          <w:b/>
          <w:color w:val="FF0000"/>
          <w:sz w:val="24"/>
          <w:szCs w:val="24"/>
        </w:rPr>
        <w:t>Encourage feedback from the employee</w:t>
      </w:r>
      <w:r w:rsidRPr="005953A3">
        <w:rPr>
          <w:rFonts w:asciiTheme="majorHAnsi" w:hAnsiTheme="majorHAnsi"/>
          <w:color w:val="FF0000"/>
          <w:sz w:val="24"/>
          <w:szCs w:val="24"/>
        </w:rPr>
        <w:t>. After you’ve discussed the results of the evaluation with the employee, encourage him or her to give you some nondefensively feedback. Ask the employee whether he or she agrees with your assessment, and/or invite suggestions for improvement. For example: “You seem to become impatient and short with patients when the physician is running late. Since there are times when running late cannot be avoided, how do you suggest we handle this to avoid such a reaction?” This should lead to an open exchange of information that will allow you and the employee to better understand each other’s perspective.</w:t>
      </w:r>
    </w:p>
    <w:p w14:paraId="50A682A9" w14:textId="5EF1025B" w:rsidR="00D72E27" w:rsidRPr="0020771E" w:rsidRDefault="00D72E27" w:rsidP="0020771E">
      <w:pPr>
        <w:spacing w:line="360" w:lineRule="auto"/>
        <w:rPr>
          <w:rFonts w:asciiTheme="majorHAnsi" w:hAnsiTheme="majorHAnsi"/>
          <w:sz w:val="24"/>
          <w:szCs w:val="24"/>
        </w:rPr>
      </w:pPr>
    </w:p>
    <w:p w14:paraId="62BF2C86"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5B1BF887" w14:textId="77777777" w:rsidR="00134A8E" w:rsidRPr="0020771E" w:rsidRDefault="00134A8E" w:rsidP="0020771E">
      <w:pPr>
        <w:tabs>
          <w:tab w:val="left" w:pos="5387"/>
        </w:tabs>
        <w:spacing w:after="0" w:line="360" w:lineRule="auto"/>
        <w:rPr>
          <w:rFonts w:asciiTheme="majorHAnsi" w:eastAsia="Times New Roman" w:hAnsiTheme="majorHAnsi" w:cs="Times New Roman"/>
          <w:b/>
          <w:sz w:val="24"/>
          <w:szCs w:val="24"/>
        </w:rPr>
      </w:pPr>
    </w:p>
    <w:p w14:paraId="5B1A49CE" w14:textId="77777777" w:rsidR="00134A8E" w:rsidRPr="0020771E" w:rsidRDefault="00134A8E" w:rsidP="0020771E">
      <w:pPr>
        <w:tabs>
          <w:tab w:val="left" w:pos="5387"/>
        </w:tabs>
        <w:spacing w:after="0" w:line="360" w:lineRule="auto"/>
        <w:rPr>
          <w:rFonts w:asciiTheme="majorHAnsi" w:eastAsia="Times New Roman" w:hAnsiTheme="majorHAnsi" w:cs="Times New Roman"/>
          <w:b/>
          <w:sz w:val="24"/>
          <w:szCs w:val="24"/>
        </w:rPr>
      </w:pPr>
    </w:p>
    <w:p w14:paraId="1A8E39DB" w14:textId="77777777" w:rsidR="00134A8E" w:rsidRPr="0020771E" w:rsidRDefault="00134A8E" w:rsidP="0020771E">
      <w:pPr>
        <w:tabs>
          <w:tab w:val="left" w:pos="5387"/>
        </w:tabs>
        <w:spacing w:after="0" w:line="360" w:lineRule="auto"/>
        <w:rPr>
          <w:rFonts w:asciiTheme="majorHAnsi" w:eastAsia="Times New Roman" w:hAnsiTheme="majorHAnsi" w:cs="Times New Roman"/>
          <w:b/>
          <w:sz w:val="24"/>
          <w:szCs w:val="24"/>
        </w:rPr>
      </w:pPr>
    </w:p>
    <w:sectPr w:rsidR="00134A8E" w:rsidRPr="0020771E"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3094BD" w14:textId="77777777" w:rsidR="00C54CC7" w:rsidRDefault="00C54CC7" w:rsidP="00447F5D">
      <w:pPr>
        <w:spacing w:after="0" w:line="240" w:lineRule="auto"/>
      </w:pPr>
      <w:r>
        <w:separator/>
      </w:r>
    </w:p>
  </w:endnote>
  <w:endnote w:type="continuationSeparator" w:id="0">
    <w:p w14:paraId="671F3A84" w14:textId="77777777" w:rsidR="00C54CC7" w:rsidRDefault="00C54CC7"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6942B3BD" w14:textId="77777777" w:rsidR="00447F5D" w:rsidRDefault="00447F5D">
        <w:pPr>
          <w:pStyle w:val="Footer"/>
          <w:jc w:val="right"/>
        </w:pPr>
        <w:r>
          <w:fldChar w:fldCharType="begin"/>
        </w:r>
        <w:r>
          <w:instrText xml:space="preserve"> PAGE   \* MERGEFORMAT </w:instrText>
        </w:r>
        <w:r>
          <w:fldChar w:fldCharType="separate"/>
        </w:r>
        <w:r w:rsidR="00F155DE">
          <w:rPr>
            <w:noProof/>
          </w:rPr>
          <w:t>12</w:t>
        </w:r>
        <w:r>
          <w:rPr>
            <w:noProof/>
          </w:rPr>
          <w:fldChar w:fldCharType="end"/>
        </w:r>
      </w:p>
    </w:sdtContent>
  </w:sdt>
  <w:p w14:paraId="3EF6501F"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C2329B" w14:textId="77777777" w:rsidR="00C54CC7" w:rsidRDefault="00C54CC7" w:rsidP="00447F5D">
      <w:pPr>
        <w:spacing w:after="0" w:line="240" w:lineRule="auto"/>
      </w:pPr>
      <w:r>
        <w:separator/>
      </w:r>
    </w:p>
  </w:footnote>
  <w:footnote w:type="continuationSeparator" w:id="0">
    <w:p w14:paraId="0C5BE519" w14:textId="77777777" w:rsidR="00C54CC7" w:rsidRDefault="00C54CC7"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22B7C"/>
    <w:multiLevelType w:val="hybridMultilevel"/>
    <w:tmpl w:val="FD30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1F2F74"/>
    <w:multiLevelType w:val="hybridMultilevel"/>
    <w:tmpl w:val="77C8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0776B3"/>
    <w:multiLevelType w:val="hybridMultilevel"/>
    <w:tmpl w:val="09CC2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A2036D"/>
    <w:multiLevelType w:val="hybridMultilevel"/>
    <w:tmpl w:val="4B1A9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C727B11"/>
    <w:multiLevelType w:val="hybridMultilevel"/>
    <w:tmpl w:val="2F6812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5346CA"/>
    <w:multiLevelType w:val="hybridMultilevel"/>
    <w:tmpl w:val="F2CC30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F423628"/>
    <w:multiLevelType w:val="hybridMultilevel"/>
    <w:tmpl w:val="9048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9CB5482"/>
    <w:multiLevelType w:val="hybridMultilevel"/>
    <w:tmpl w:val="AFEC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E6D1BEE"/>
    <w:multiLevelType w:val="hybridMultilevel"/>
    <w:tmpl w:val="5E10D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CC651D"/>
    <w:multiLevelType w:val="hybridMultilevel"/>
    <w:tmpl w:val="8EAE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DB0C35"/>
    <w:multiLevelType w:val="hybridMultilevel"/>
    <w:tmpl w:val="174AE4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0"/>
  </w:num>
  <w:num w:numId="4">
    <w:abstractNumId w:val="5"/>
  </w:num>
  <w:num w:numId="5">
    <w:abstractNumId w:val="4"/>
  </w:num>
  <w:num w:numId="6">
    <w:abstractNumId w:val="7"/>
  </w:num>
  <w:num w:numId="7">
    <w:abstractNumId w:val="8"/>
  </w:num>
  <w:num w:numId="8">
    <w:abstractNumId w:val="0"/>
  </w:num>
  <w:num w:numId="9">
    <w:abstractNumId w:val="9"/>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B659D"/>
    <w:rsid w:val="00134A8E"/>
    <w:rsid w:val="0020771E"/>
    <w:rsid w:val="002773C7"/>
    <w:rsid w:val="002F677F"/>
    <w:rsid w:val="003A5860"/>
    <w:rsid w:val="003E1A30"/>
    <w:rsid w:val="004237B8"/>
    <w:rsid w:val="00447F5D"/>
    <w:rsid w:val="00492652"/>
    <w:rsid w:val="004B4B82"/>
    <w:rsid w:val="005953A3"/>
    <w:rsid w:val="005D2A72"/>
    <w:rsid w:val="006A5034"/>
    <w:rsid w:val="006E55DF"/>
    <w:rsid w:val="007B2AEA"/>
    <w:rsid w:val="007E085E"/>
    <w:rsid w:val="00882096"/>
    <w:rsid w:val="008E72CE"/>
    <w:rsid w:val="00C54CC7"/>
    <w:rsid w:val="00CE799A"/>
    <w:rsid w:val="00D72E27"/>
    <w:rsid w:val="00D82400"/>
    <w:rsid w:val="00F155DE"/>
    <w:rsid w:val="00F201E0"/>
    <w:rsid w:val="00F42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392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5D2A72"/>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0771E"/>
    <w:pPr>
      <w:ind w:left="720"/>
      <w:contextualSpacing/>
    </w:pPr>
  </w:style>
  <w:style w:type="paragraph" w:styleId="BalloonText">
    <w:name w:val="Balloon Text"/>
    <w:basedOn w:val="Normal"/>
    <w:link w:val="BalloonTextChar"/>
    <w:uiPriority w:val="99"/>
    <w:semiHidden/>
    <w:unhideWhenUsed/>
    <w:rsid w:val="003A58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8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2309</Words>
  <Characters>13166</Characters>
  <Application>Microsoft Macintosh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2018-06-28T20:23:00Z</dcterms:modified>
</cp:coreProperties>
</file>