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b/>
          <w:lang w:val="en-US" w:eastAsia="zh-CN"/>
        </w:rPr>
      </w:pPr>
      <w:r>
        <w:rPr>
          <w:rFonts w:hint="eastAsia" w:ascii="Times New Roman" w:hAnsi="Times New Roman" w:cs="Times New Roman"/>
          <w:b/>
        </w:rPr>
        <w:t>int  a；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第二种方式是语法分析时，需要单词时，调用一次词法分析的函数，读取一个单词。后续的有关说明是按第二种方式进行介绍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>
      <w:r>
        <w:rPr>
          <w:rFonts w:hint="eastAsia"/>
        </w:rPr>
        <w:t>&lt;实参序列&gt;：：=&lt;表达式&gt; &lt;实参序列&gt;  |  &lt;空&gt;</w:t>
      </w:r>
    </w:p>
    <w:p/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递归下降分析法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>
      <w:r>
        <w:t xml:space="preserve">    if (w==EOF) return </w:t>
      </w:r>
      <w:r>
        <w:rPr>
          <w:rFonts w:hint="eastAsia"/>
        </w:rPr>
        <w:t>NULL；</w:t>
      </w:r>
    </w:p>
    <w:p>
      <w:r>
        <w:rPr>
          <w:rFonts w:hint="eastAsia"/>
        </w:rPr>
        <w:t xml:space="preserve">    生成一个外部定义序列结点root</w:t>
      </w:r>
    </w:p>
    <w:p>
      <w:r>
        <w:rPr>
          <w:rFonts w:hint="eastAsia"/>
        </w:rPr>
        <w:t xml:space="preserve">    ExtDef();    //处理一个外部定义，得到一棵子树，作为root的第一棵子树</w:t>
      </w:r>
    </w:p>
    <w:p>
      <w:r>
        <w:rPr>
          <w:rFonts w:hint="eastAsia"/>
        </w:rPr>
        <w:t xml:space="preserve">    ExtDefList();  //得到的子树，作为root的第二棵子树</w:t>
      </w:r>
    </w:p>
    <w:p>
      <w:r>
        <w:rPr>
          <w:rFonts w:hint="eastAsia"/>
        </w:rPr>
        <w:tab/>
      </w:r>
      <w:r>
        <w:rPr>
          <w:rFonts w:hint="eastAsia"/>
        </w:rPr>
        <w:t>return root；</w:t>
      </w:r>
    </w:p>
    <w:p>
      <w:r>
        <w:t>}</w: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</w:rPr>
        <w:t>孩子表示法</w:t>
      </w:r>
      <w:r>
        <w:rPr>
          <w:rFonts w:ascii="Times New Roman" w:cs="Times New Roman" w:hAnsiTheme="minorEastAsia"/>
        </w:rPr>
        <w:t>，也可以采用孩子兄弟表示法等，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所有结点，定义结点类型时，需要使用共用体的概念，通过一个标记说明该结点包含的信息（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>
      <w:r>
        <w:rPr>
          <w:rFonts w:hint="eastAsia"/>
        </w:rPr>
        <w:t>ExtDef() {  //处理外部定义序列，正确时，返回子树根结点指针，否则返回NULL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r>
        <w:rPr>
          <w:rFonts w:hint="eastAsia"/>
        </w:rPr>
        <w:t>ExtVarDef() {</w:t>
      </w:r>
    </w:p>
    <w:p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测试用例中条件语句的抽象语法树形式如下图所示。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>
      <w:pPr>
        <w:spacing w:line="360" w:lineRule="auto"/>
        <w:rPr>
          <w:rFonts w:ascii="Times New Roman" w:cs="Times New Roman" w:hAnsiTheme="minorEastAsia"/>
        </w:rPr>
      </w:pP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bookmarkStart w:id="0" w:name="_GoBack"/>
      <w:bookmarkEnd w:id="0"/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041C6466"/>
    <w:rsid w:val="0EEA35FD"/>
    <w:rsid w:val="2568616F"/>
    <w:rsid w:val="2B4125A4"/>
    <w:rsid w:val="2D831E43"/>
    <w:rsid w:val="2F5E6501"/>
    <w:rsid w:val="31F93B6A"/>
    <w:rsid w:val="342C413A"/>
    <w:rsid w:val="34CA7ED8"/>
    <w:rsid w:val="358225A7"/>
    <w:rsid w:val="35FD63B5"/>
    <w:rsid w:val="43197CE4"/>
    <w:rsid w:val="44A70F8C"/>
    <w:rsid w:val="4E24741C"/>
    <w:rsid w:val="556C0974"/>
    <w:rsid w:val="619E47F3"/>
    <w:rsid w:val="695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文档结构图 Char"/>
    <w:basedOn w:val="8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1623</Words>
  <Characters>9253</Characters>
  <Lines>77</Lines>
  <Paragraphs>21</Paragraphs>
  <TotalTime>6062</TotalTime>
  <ScaleCrop>false</ScaleCrop>
  <LinksUpToDate>false</LinksUpToDate>
  <CharactersWithSpaces>10855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零</cp:lastModifiedBy>
  <dcterms:modified xsi:type="dcterms:W3CDTF">2020-08-27T23:10:37Z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