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1B4A" w14:textId="2BFF5A2F" w:rsidR="00144E41" w:rsidRDefault="0091329E" w:rsidP="0091329E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White Paper | </w:t>
      </w:r>
      <w:r>
        <w:rPr>
          <w:rFonts w:ascii="-webkit-standard" w:hAnsi="-webkit-standard"/>
          <w:color w:val="000000"/>
          <w:sz w:val="27"/>
          <w:szCs w:val="27"/>
        </w:rPr>
        <w:t>A Regime-Adaptive Tail Risk Overlay for Crypto Assets</w:t>
      </w:r>
    </w:p>
    <w:p w14:paraId="3043B50B" w14:textId="77777777" w:rsidR="0091329E" w:rsidRDefault="0091329E" w:rsidP="0091329E">
      <w:pPr>
        <w:jc w:val="center"/>
        <w:rPr>
          <w:rFonts w:ascii="-webkit-standard" w:hAnsi="-webkit-standard"/>
          <w:color w:val="000000"/>
          <w:sz w:val="27"/>
          <w:szCs w:val="27"/>
        </w:rPr>
      </w:pPr>
    </w:p>
    <w:p w14:paraId="3E5BF3C5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Abstract</w:t>
      </w:r>
    </w:p>
    <w:p w14:paraId="68A3AFFE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Crypto assets exhibit structurally high volatility, extreme drawdowns, and pronounced regime shifts. Traditional buy-and-hold strategies expose investors to severe capital erosion during prolonged bear markets, while directional machine learning models often suffer from instability and overfitting.</w:t>
      </w:r>
    </w:p>
    <w:p w14:paraId="6AA3A4E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paper presents a regime-adaptive tail risk overlay designed to improve risk-adjusted returns in crypto markets. The framework combines:</w:t>
      </w:r>
    </w:p>
    <w:p w14:paraId="22F9EE89" w14:textId="77777777" w:rsidR="0091329E" w:rsidRPr="0091329E" w:rsidRDefault="0091329E" w:rsidP="00913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rolling, out-of-sample tail risk probability model based on Average True Range (ATR).</w:t>
      </w:r>
    </w:p>
    <w:p w14:paraId="6940D595" w14:textId="77777777" w:rsidR="0091329E" w:rsidRPr="0091329E" w:rsidRDefault="0091329E" w:rsidP="00913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long-term regime filter derived from a 200-period exponential moving average (EMA200).</w:t>
      </w:r>
    </w:p>
    <w:p w14:paraId="774EB0D5" w14:textId="77777777" w:rsidR="0091329E" w:rsidRPr="0091329E" w:rsidRDefault="0091329E" w:rsidP="00913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dynamic exposure scaling mechanism integrating both components.</w:t>
      </w:r>
    </w:p>
    <w:p w14:paraId="20E2D750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4-hour BTC and ETH data from 2017 to 2026, the model demonstrates:</w:t>
      </w:r>
    </w:p>
    <w:p w14:paraId="396ADC2C" w14:textId="77777777" w:rsidR="0091329E" w:rsidRPr="0091329E" w:rsidRDefault="0091329E" w:rsidP="00913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Significant reduction in maximum drawdown.</w:t>
      </w:r>
    </w:p>
    <w:p w14:paraId="538D6218" w14:textId="77777777" w:rsidR="0091329E" w:rsidRPr="0091329E" w:rsidRDefault="0091329E" w:rsidP="00913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Material improvement in Sharpe and Calmar ratios.</w:t>
      </w:r>
    </w:p>
    <w:p w14:paraId="71F911F3" w14:textId="77777777" w:rsidR="0091329E" w:rsidRPr="0091329E" w:rsidRDefault="0091329E" w:rsidP="00913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Cross-asset robustness without parameter retuning.</w:t>
      </w:r>
    </w:p>
    <w:p w14:paraId="7B32924E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of the framework is not to predict crashes perfectly, but to enhance capital efficiency by systematically reducing exposure during high-risk structural and stress conditions.</w:t>
      </w:r>
    </w:p>
    <w:p w14:paraId="20A912EC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62AF4FD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B8FB03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C63A774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6CFAD8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9771BB3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0C62C0C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C8E892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6BBA90" w14:textId="77777777" w:rsid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93FE7F4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1. Problem Statement</w:t>
      </w:r>
    </w:p>
    <w:p w14:paraId="43B2449F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Structural Risk in Crypto Markets</w:t>
      </w:r>
    </w:p>
    <w:p w14:paraId="28FF5E7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Crypto assets display several structural characteristics:</w:t>
      </w:r>
    </w:p>
    <w:p w14:paraId="67D7680C" w14:textId="77777777" w:rsidR="0091329E" w:rsidRPr="0091329E" w:rsidRDefault="0091329E" w:rsidP="00913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Annualized volatility often exceeding 70%.</w:t>
      </w:r>
    </w:p>
    <w:p w14:paraId="4DBF8161" w14:textId="77777777" w:rsidR="0091329E" w:rsidRPr="0091329E" w:rsidRDefault="0091329E" w:rsidP="00913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Drawdowns above 80% in major market cycles.</w:t>
      </w:r>
    </w:p>
    <w:p w14:paraId="46D34B17" w14:textId="77777777" w:rsidR="0091329E" w:rsidRPr="0091329E" w:rsidRDefault="0091329E" w:rsidP="00913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Volatility clustering and fat-tailed return distributions.</w:t>
      </w:r>
    </w:p>
    <w:p w14:paraId="32F49DED" w14:textId="77777777" w:rsidR="0091329E" w:rsidRPr="0091329E" w:rsidRDefault="0091329E" w:rsidP="00913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Rapid transitions between bull and bear regimes.</w:t>
      </w:r>
    </w:p>
    <w:p w14:paraId="6D5B6E81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Buy-and-hold strategies, while profitable over long horizons, expose investors to extreme interim capital losses that can impair institutional adoption, capital allocation stability, and psychological tolerance.</w:t>
      </w:r>
    </w:p>
    <w:p w14:paraId="67AB29CC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Limitations of Existing Approaches</w:t>
      </w:r>
    </w:p>
    <w:p w14:paraId="2C6F5658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Several approaches attempt to mitigate crypto risk:</w:t>
      </w:r>
    </w:p>
    <w:p w14:paraId="465042A3" w14:textId="77777777" w:rsidR="0091329E" w:rsidRPr="0091329E" w:rsidRDefault="0091329E" w:rsidP="009132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Stop-loss systems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are sensitive to noise and may trigger excessively.</w:t>
      </w:r>
    </w:p>
    <w:p w14:paraId="10194ACC" w14:textId="77777777" w:rsidR="0091329E" w:rsidRPr="0091329E" w:rsidRDefault="0091329E" w:rsidP="009132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Crash prediction models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typically exhibit low precision and unstable signals.</w:t>
      </w:r>
    </w:p>
    <w:p w14:paraId="355736F2" w14:textId="77777777" w:rsidR="0091329E" w:rsidRPr="0091329E" w:rsidRDefault="0091329E" w:rsidP="009132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Directional machine learning models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prone to overfitting and parameter instability.</w:t>
      </w:r>
    </w:p>
    <w:p w14:paraId="6DE3BCA6" w14:textId="77777777" w:rsidR="0091329E" w:rsidRPr="0091329E" w:rsidRDefault="0091329E" w:rsidP="009132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Static volatility filters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fail to account for regime persistence.</w:t>
      </w:r>
    </w:p>
    <w:p w14:paraId="54C92B3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key structural challenge is distinguishing between:</w:t>
      </w:r>
    </w:p>
    <w:p w14:paraId="448C6B19" w14:textId="77777777" w:rsidR="0091329E" w:rsidRPr="0091329E" w:rsidRDefault="0091329E" w:rsidP="009132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Short-term stress events (tail risk spikes), and</w:t>
      </w:r>
    </w:p>
    <w:p w14:paraId="59F570CD" w14:textId="77777777" w:rsidR="0091329E" w:rsidRPr="0091329E" w:rsidRDefault="0091329E" w:rsidP="009132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Prolonged bearish regimes (trend deterioration).</w:t>
      </w:r>
    </w:p>
    <w:p w14:paraId="37F556B1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systems address only one of these components.</w:t>
      </w:r>
    </w:p>
    <w:p w14:paraId="6426628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2B367D1" w14:textId="4556F56A" w:rsidR="0091329E" w:rsidRDefault="0091329E" w:rsidP="0091329E">
      <w:pPr>
        <w:jc w:val="center"/>
      </w:pPr>
    </w:p>
    <w:p w14:paraId="0851DD93" w14:textId="77777777" w:rsidR="0091329E" w:rsidRDefault="0091329E" w:rsidP="0091329E">
      <w:pPr>
        <w:jc w:val="center"/>
      </w:pPr>
    </w:p>
    <w:p w14:paraId="79987A3F" w14:textId="77777777" w:rsidR="0091329E" w:rsidRDefault="0091329E" w:rsidP="0091329E">
      <w:pPr>
        <w:jc w:val="center"/>
      </w:pPr>
    </w:p>
    <w:p w14:paraId="56264DC7" w14:textId="77777777" w:rsidR="0091329E" w:rsidRDefault="0091329E" w:rsidP="0091329E">
      <w:pPr>
        <w:jc w:val="center"/>
      </w:pPr>
    </w:p>
    <w:p w14:paraId="304495A6" w14:textId="77777777" w:rsidR="0091329E" w:rsidRDefault="0091329E" w:rsidP="0091329E">
      <w:pPr>
        <w:jc w:val="center"/>
      </w:pPr>
    </w:p>
    <w:p w14:paraId="43E98FDD" w14:textId="77777777" w:rsidR="0091329E" w:rsidRDefault="0091329E" w:rsidP="0091329E">
      <w:pPr>
        <w:jc w:val="center"/>
      </w:pPr>
    </w:p>
    <w:p w14:paraId="40215571" w14:textId="77777777" w:rsidR="0091329E" w:rsidRDefault="0091329E" w:rsidP="0091329E">
      <w:pPr>
        <w:jc w:val="center"/>
      </w:pPr>
    </w:p>
    <w:p w14:paraId="447766DD" w14:textId="77777777" w:rsidR="0091329E" w:rsidRDefault="0091329E" w:rsidP="0091329E">
      <w:pPr>
        <w:jc w:val="center"/>
      </w:pPr>
    </w:p>
    <w:p w14:paraId="516B6AFB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2. Methodology</w:t>
      </w:r>
    </w:p>
    <w:p w14:paraId="20F3F102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proposed framework consists of two complementary layers:</w:t>
      </w:r>
    </w:p>
    <w:p w14:paraId="49719AB0" w14:textId="77777777" w:rsidR="0091329E" w:rsidRPr="0091329E" w:rsidRDefault="0091329E" w:rsidP="009132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short-term Tail Risk Engine.</w:t>
      </w:r>
    </w:p>
    <w:p w14:paraId="26483E49" w14:textId="77777777" w:rsidR="0091329E" w:rsidRPr="0091329E" w:rsidRDefault="0091329E" w:rsidP="009132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long-term Regime Filter.</w:t>
      </w:r>
    </w:p>
    <w:p w14:paraId="3C8A430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portfolio exposure is determined by combining both components.</w:t>
      </w:r>
    </w:p>
    <w:p w14:paraId="207CA663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 Tail Risk Engine</w:t>
      </w:r>
    </w:p>
    <w:p w14:paraId="6907E78C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6F4ADFEA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Estimate the probability of extreme negative returns using a rolling, out-of-sample approach.</w:t>
      </w:r>
    </w:p>
    <w:p w14:paraId="267D1017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Target Definition</w:t>
      </w:r>
    </w:p>
    <w:p w14:paraId="26DF1467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Tail events are defined as the worst 5% of forward 6-period log returns:</w:t>
      </w:r>
    </w:p>
    <w:p w14:paraId="571E8949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TailEven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t,t+6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%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en-GB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9859581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24C5437E" w14:textId="77777777" w:rsidR="0091329E" w:rsidRPr="0091329E" w:rsidRDefault="0091329E" w:rsidP="009132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t,t+6</m:t>
            </m:r>
          </m:sub>
        </m:sSub>
      </m:oMath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6-step forward log return.</w:t>
      </w:r>
    </w:p>
    <w:p w14:paraId="3EBAF325" w14:textId="77777777" w:rsidR="0091329E" w:rsidRPr="0091329E" w:rsidRDefault="0091329E" w:rsidP="009132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%</m:t>
            </m:r>
          </m:sub>
        </m:sSub>
      </m:oMath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5th percentile of the forward return distribution.</w:t>
      </w:r>
    </w:p>
    <w:p w14:paraId="250E9907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a consistent tail definition across time.</w:t>
      </w:r>
    </w:p>
    <w:p w14:paraId="3C115911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5FE40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92AB82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Model Specification</w:t>
      </w:r>
    </w:p>
    <w:p w14:paraId="15CA54E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logistic regression model is trained using a rolling 3-year window:</w:t>
      </w:r>
    </w:p>
    <w:p w14:paraId="0E27B7A7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P(TailEven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=1)=σ(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⋅AT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14,t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4BD343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0988AFBC" w14:textId="77777777" w:rsidR="0091329E" w:rsidRPr="0091329E" w:rsidRDefault="0091329E" w:rsidP="009132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AT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14</m:t>
            </m:r>
          </m:sub>
        </m:sSub>
      </m:oMath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14-period Average True Range.</w:t>
      </w:r>
    </w:p>
    <w:p w14:paraId="5BCA6C4A" w14:textId="77777777" w:rsidR="0091329E" w:rsidRPr="0091329E" w:rsidRDefault="0091329E" w:rsidP="009132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σ(⋅)</m:t>
        </m:r>
      </m:oMath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logistic function.</w:t>
      </w:r>
    </w:p>
    <w:p w14:paraId="7FA942C9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choice of ATR is deliberate:</w:t>
      </w:r>
    </w:p>
    <w:p w14:paraId="1B7410D5" w14:textId="77777777" w:rsidR="0091329E" w:rsidRPr="0091329E" w:rsidRDefault="0091329E" w:rsidP="009132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captures volatility expansion.</w:t>
      </w:r>
    </w:p>
    <w:p w14:paraId="4EB67FF0" w14:textId="77777777" w:rsidR="0091329E" w:rsidRPr="0091329E" w:rsidRDefault="0091329E" w:rsidP="009132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cross-asset robust.</w:t>
      </w:r>
    </w:p>
    <w:p w14:paraId="4A56FBBE" w14:textId="77777777" w:rsidR="0091329E" w:rsidRPr="0091329E" w:rsidRDefault="0091329E" w:rsidP="009132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 avoids feature proliferation and overfitting.</w:t>
      </w:r>
    </w:p>
    <w:p w14:paraId="060494E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model is retrained annually using only past data (strict out-of-sample framework).</w:t>
      </w:r>
    </w:p>
    <w:p w14:paraId="78D0EC1B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E807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1FEBCA0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Probability Smoothing</w:t>
      </w:r>
    </w:p>
    <w:p w14:paraId="2497007F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reduce noise, predicted probabilities are smoothed using an exponentially weighted moving average (EWMA):</w:t>
      </w:r>
    </w:p>
    <w:p w14:paraId="4FFACEB9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=EWM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span=20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3D95DB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prevents overreaction to single-bar volatility spikes.</w:t>
      </w:r>
    </w:p>
    <w:p w14:paraId="24EDB690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B2C7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E816DCE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Tail Risk Index</w:t>
      </w:r>
    </w:p>
    <w:p w14:paraId="565E5A37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smoothed probability is converted into a rolling percentile over a 365-period window:</w:t>
      </w:r>
    </w:p>
    <w:p w14:paraId="7CB7DCC6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TailInde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=RankPercentil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365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49D8E3E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produces a normalized 0–100 risk score, adaptive to changing volatility regimes.</w:t>
      </w:r>
    </w:p>
    <w:p w14:paraId="1B66B32C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levels are defined as:</w:t>
      </w:r>
    </w:p>
    <w:p w14:paraId="4DF45FDF" w14:textId="77777777" w:rsidR="0091329E" w:rsidRPr="0091329E" w:rsidRDefault="0091329E" w:rsidP="009132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Normal: 0–70</w:t>
      </w:r>
    </w:p>
    <w:p w14:paraId="330ED364" w14:textId="77777777" w:rsidR="0091329E" w:rsidRPr="0091329E" w:rsidRDefault="0091329E" w:rsidP="009132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Elevated: 70–85</w:t>
      </w:r>
    </w:p>
    <w:p w14:paraId="5AD073F3" w14:textId="77777777" w:rsidR="0091329E" w:rsidRPr="0091329E" w:rsidRDefault="0091329E" w:rsidP="009132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High: 85–95</w:t>
      </w:r>
    </w:p>
    <w:p w14:paraId="09FD1C34" w14:textId="77777777" w:rsidR="0091329E" w:rsidRPr="0091329E" w:rsidRDefault="0091329E" w:rsidP="009132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Extreme: 95–100</w:t>
      </w:r>
    </w:p>
    <w:p w14:paraId="4E2FB215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E38D6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6CFBC81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 Regime Filter</w:t>
      </w:r>
    </w:p>
    <w:p w14:paraId="3A7F516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While the Tail Engine captures short-term stress, major drawdowns are typically driven by prolonged bearish regimes.</w:t>
      </w:r>
    </w:p>
    <w:p w14:paraId="41634452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address this, a long-term trend filter is introduced.</w:t>
      </w:r>
    </w:p>
    <w:p w14:paraId="1840DE73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Trend Proxy</w:t>
      </w:r>
    </w:p>
    <w:p w14:paraId="0BA2A16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200-period exponential moving average (EMA200) is used as a structural trend indicator.</w:t>
      </w:r>
    </w:p>
    <w:p w14:paraId="79165B5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Regime classification:</w:t>
      </w:r>
    </w:p>
    <w:p w14:paraId="69BABC32" w14:textId="77777777" w:rsidR="0091329E" w:rsidRPr="0091329E" w:rsidRDefault="0091329E" w:rsidP="009132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Bull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Price &gt; EMA200 and EMA200 slope &gt; 0</w:t>
      </w:r>
    </w:p>
    <w:p w14:paraId="3BD2AECB" w14:textId="77777777" w:rsidR="0091329E" w:rsidRPr="0091329E" w:rsidRDefault="0091329E" w:rsidP="009132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Bear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Price &lt; EMA200 and EMA200 slope &lt; 0</w:t>
      </w:r>
    </w:p>
    <w:p w14:paraId="1C88796A" w14:textId="77777777" w:rsidR="0091329E" w:rsidRPr="0091329E" w:rsidRDefault="0091329E" w:rsidP="009132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Neutral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All other cases</w:t>
      </w:r>
    </w:p>
    <w:p w14:paraId="3AA69EEA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filter identifies persistent trend deterioration rather than transient volatility spikes.</w:t>
      </w:r>
    </w:p>
    <w:p w14:paraId="252B54D2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B3A1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A61BFA7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2.3 Exposure Overlay</w:t>
      </w:r>
    </w:p>
    <w:p w14:paraId="6302287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exposure is defined as:</w:t>
      </w:r>
    </w:p>
    <w:p w14:paraId="64D6F295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Exposur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=RegimeExposur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×TailAdjustmen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525356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1F7F03F1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Regime exposure:</w:t>
      </w:r>
    </w:p>
    <w:p w14:paraId="66C7059F" w14:textId="77777777" w:rsidR="0091329E" w:rsidRPr="0091329E" w:rsidRDefault="0091329E" w:rsidP="009132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Bull = 1.0</w:t>
      </w:r>
    </w:p>
    <w:p w14:paraId="7C2F9321" w14:textId="77777777" w:rsidR="0091329E" w:rsidRPr="0091329E" w:rsidRDefault="0091329E" w:rsidP="009132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Neutral = 0.6</w:t>
      </w:r>
    </w:p>
    <w:p w14:paraId="482C482F" w14:textId="77777777" w:rsidR="0091329E" w:rsidRPr="0091329E" w:rsidRDefault="0091329E" w:rsidP="009132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Bear = 0.3</w:t>
      </w:r>
    </w:p>
    <w:p w14:paraId="65D9FBD4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Tail adjustment:</w:t>
      </w:r>
    </w:p>
    <w:p w14:paraId="769EDC2A" w14:textId="77777777" w:rsidR="0091329E" w:rsidRPr="0091329E" w:rsidRDefault="0091329E" w:rsidP="009132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Elevated = ×0.9</w:t>
      </w:r>
    </w:p>
    <w:p w14:paraId="47712387" w14:textId="77777777" w:rsidR="0091329E" w:rsidRPr="0091329E" w:rsidRDefault="0091329E" w:rsidP="009132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= ×0.7</w:t>
      </w:r>
    </w:p>
    <w:p w14:paraId="5A6CDE03" w14:textId="77777777" w:rsidR="0091329E" w:rsidRPr="0091329E" w:rsidRDefault="0091329E" w:rsidP="009132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Extreme = ×0.5</w:t>
      </w:r>
    </w:p>
    <w:p w14:paraId="1D8E0F7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eliminate look-ahead bias, exposure is shifted forward by one period before being applied to returns.</w:t>
      </w:r>
    </w:p>
    <w:p w14:paraId="6DF494DB" w14:textId="77777777" w:rsidR="0091329E" w:rsidRPr="0091329E" w:rsidRDefault="0091329E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StrategyRetur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=Exposur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AFF9815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strict implementability.</w:t>
      </w:r>
    </w:p>
    <w:p w14:paraId="1A7A4781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243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E9A0127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35B29E7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9E53E73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015EC97" w14:textId="0A998657" w:rsidR="0091329E" w:rsidRPr="0091329E" w:rsidRDefault="0091329E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3. Backtesting Framework</w:t>
      </w:r>
    </w:p>
    <w:p w14:paraId="442236B2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</w:t>
      </w:r>
    </w:p>
    <w:p w14:paraId="6F991C55" w14:textId="77777777" w:rsidR="0091329E" w:rsidRPr="0091329E" w:rsidRDefault="0091329E" w:rsidP="009132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4-hour OHLCV data</w:t>
      </w:r>
    </w:p>
    <w:p w14:paraId="5FE0E8A1" w14:textId="77777777" w:rsidR="0091329E" w:rsidRPr="0091329E" w:rsidRDefault="0091329E" w:rsidP="009132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Period: 2017–2026</w:t>
      </w:r>
    </w:p>
    <w:p w14:paraId="52495D27" w14:textId="77777777" w:rsidR="0091329E" w:rsidRPr="0091329E" w:rsidRDefault="0091329E" w:rsidP="009132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Assets tested: BTC and ETH</w:t>
      </w:r>
    </w:p>
    <w:p w14:paraId="638773E3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Validation Protocol</w:t>
      </w:r>
    </w:p>
    <w:p w14:paraId="5E75B9AF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 3-year retraining</w:t>
      </w:r>
    </w:p>
    <w:p w14:paraId="65614FD4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cross-asset parameter tuning</w:t>
      </w:r>
    </w:p>
    <w:p w14:paraId="61406F60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look-ahead bias</w:t>
      </w:r>
    </w:p>
    <w:p w14:paraId="7FFD9D46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returns</w:t>
      </w:r>
    </w:p>
    <w:p w14:paraId="3F8779BF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2190 periods per year</w:t>
      </w:r>
    </w:p>
    <w:p w14:paraId="4B565CD8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leverage</w:t>
      </w:r>
    </w:p>
    <w:p w14:paraId="4B3496BF" w14:textId="77777777" w:rsidR="0091329E" w:rsidRPr="0091329E" w:rsidRDefault="0091329E" w:rsidP="00913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transaction cost assumptions (conservative base case)</w:t>
      </w:r>
    </w:p>
    <w:p w14:paraId="3B87F3C8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structure ensures realistic out-of-sample evaluation.</w:t>
      </w:r>
    </w:p>
    <w:p w14:paraId="69A003B0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20A8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D5D256C" w14:textId="77777777" w:rsidR="0091329E" w:rsidRDefault="0091329E" w:rsidP="0091329E">
      <w:pPr>
        <w:jc w:val="center"/>
      </w:pPr>
    </w:p>
    <w:p w14:paraId="3B617F87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8446440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F612B13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1F22CAA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B816F17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9477460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F8BB984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D274A1B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C6BEC5E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4206996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5433E805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7C73A914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7473212" w14:textId="6658EC71" w:rsidR="0091329E" w:rsidRPr="0091329E" w:rsidRDefault="0091329E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Results</w:t>
      </w:r>
    </w:p>
    <w:p w14:paraId="4158B7CD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framework was evaluated on BTC and ETH using identical parameters and without asset-specific optimization. Performance metrics focus on risk-adjusted efficiency rather than absolute return maximization.</w:t>
      </w:r>
    </w:p>
    <w:p w14:paraId="03901675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CA513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9BA37F5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Bitcoin (BTC)</w:t>
      </w:r>
    </w:p>
    <w:p w14:paraId="0801875A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Period: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2017–2026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Frequency: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4-hour data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Rolling 3-year retraining, no look-ahead bias</w:t>
      </w:r>
    </w:p>
    <w:tbl>
      <w:tblPr>
        <w:tblpPr w:leftFromText="180" w:rightFromText="180" w:vertAnchor="text" w:horzAnchor="margin" w:tblpY="45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01"/>
        <w:gridCol w:w="2765"/>
      </w:tblGrid>
      <w:tr w:rsidR="0091329E" w:rsidRPr="0091329E" w14:paraId="7317A85F" w14:textId="77777777" w:rsidTr="00913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BE5F" w14:textId="77777777" w:rsidR="0091329E" w:rsidRPr="0091329E" w:rsidRDefault="0091329E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5A3885" w14:textId="77777777" w:rsidR="0091329E" w:rsidRPr="0091329E" w:rsidRDefault="0091329E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Buy &amp; Hold</w:t>
            </w:r>
          </w:p>
        </w:tc>
        <w:tc>
          <w:tcPr>
            <w:tcW w:w="0" w:type="auto"/>
            <w:vAlign w:val="center"/>
            <w:hideMark/>
          </w:tcPr>
          <w:p w14:paraId="5B3749D0" w14:textId="38BBEFEA" w:rsidR="0091329E" w:rsidRPr="0091329E" w:rsidRDefault="0091329E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     </w:t>
            </w:r>
            <w:r w:rsidRPr="0091329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Regime + Tail Overlay</w:t>
            </w:r>
          </w:p>
        </w:tc>
      </w:tr>
      <w:tr w:rsidR="0091329E" w:rsidRPr="0091329E" w14:paraId="12EF2142" w14:textId="77777777" w:rsidTr="0091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2F5B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CAGR</w:t>
            </w:r>
          </w:p>
        </w:tc>
        <w:tc>
          <w:tcPr>
            <w:tcW w:w="0" w:type="auto"/>
            <w:vAlign w:val="center"/>
            <w:hideMark/>
          </w:tcPr>
          <w:p w14:paraId="285CB703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38.9%</w:t>
            </w:r>
          </w:p>
        </w:tc>
        <w:tc>
          <w:tcPr>
            <w:tcW w:w="0" w:type="auto"/>
            <w:vAlign w:val="center"/>
            <w:hideMark/>
          </w:tcPr>
          <w:p w14:paraId="07E5B8CC" w14:textId="3FD4705F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 </w:t>
            </w: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52.8%</w:t>
            </w:r>
          </w:p>
        </w:tc>
      </w:tr>
      <w:tr w:rsidR="0091329E" w:rsidRPr="0091329E" w14:paraId="1CFC093E" w14:textId="77777777" w:rsidTr="0091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AED3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Annualized Volatility</w:t>
            </w:r>
          </w:p>
        </w:tc>
        <w:tc>
          <w:tcPr>
            <w:tcW w:w="0" w:type="auto"/>
            <w:vAlign w:val="center"/>
            <w:hideMark/>
          </w:tcPr>
          <w:p w14:paraId="58CECA4A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69.5%</w:t>
            </w:r>
          </w:p>
        </w:tc>
        <w:tc>
          <w:tcPr>
            <w:tcW w:w="0" w:type="auto"/>
            <w:vAlign w:val="center"/>
            <w:hideMark/>
          </w:tcPr>
          <w:p w14:paraId="10335978" w14:textId="6676ACC1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 </w:t>
            </w: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48.3%</w:t>
            </w:r>
          </w:p>
        </w:tc>
      </w:tr>
      <w:tr w:rsidR="0091329E" w:rsidRPr="0091329E" w14:paraId="3450EBDB" w14:textId="77777777" w:rsidTr="0091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4F4A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431D9376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60AEFDF1" w14:textId="00E3E54C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 </w:t>
            </w: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0.88</w:t>
            </w:r>
          </w:p>
        </w:tc>
      </w:tr>
      <w:tr w:rsidR="0091329E" w:rsidRPr="0091329E" w14:paraId="754473CB" w14:textId="77777777" w:rsidTr="0091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FA37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65AFD8A9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−83.9%</w:t>
            </w:r>
          </w:p>
        </w:tc>
        <w:tc>
          <w:tcPr>
            <w:tcW w:w="0" w:type="auto"/>
            <w:vAlign w:val="center"/>
            <w:hideMark/>
          </w:tcPr>
          <w:p w14:paraId="2617AC94" w14:textId="0C06D4C0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</w:t>
            </w: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−31.8%</w:t>
            </w:r>
          </w:p>
        </w:tc>
      </w:tr>
      <w:tr w:rsidR="0091329E" w:rsidRPr="0091329E" w14:paraId="2ECC0446" w14:textId="77777777" w:rsidTr="00913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1E44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Calmar Ratio</w:t>
            </w:r>
          </w:p>
        </w:tc>
        <w:tc>
          <w:tcPr>
            <w:tcW w:w="0" w:type="auto"/>
            <w:vAlign w:val="center"/>
            <w:hideMark/>
          </w:tcPr>
          <w:p w14:paraId="516509B8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C32AAB7" w14:textId="757EE6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</w:t>
            </w:r>
            <w:r w:rsidRPr="0091329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0.73</w:t>
            </w:r>
          </w:p>
        </w:tc>
      </w:tr>
    </w:tbl>
    <w:p w14:paraId="3DB236E7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Performance Summary</w:t>
      </w:r>
    </w:p>
    <w:p w14:paraId="6379BBA1" w14:textId="77777777" w:rsidR="0091329E" w:rsidRDefault="0091329E" w:rsidP="0091329E">
      <w:pPr>
        <w:jc w:val="center"/>
      </w:pPr>
    </w:p>
    <w:p w14:paraId="1370AA4C" w14:textId="77777777" w:rsidR="0091329E" w:rsidRDefault="0091329E" w:rsidP="0091329E">
      <w:pPr>
        <w:jc w:val="center"/>
      </w:pPr>
    </w:p>
    <w:p w14:paraId="50372FE0" w14:textId="77777777" w:rsidR="0091329E" w:rsidRDefault="0091329E" w:rsidP="0091329E">
      <w:pPr>
        <w:jc w:val="center"/>
      </w:pPr>
    </w:p>
    <w:p w14:paraId="2961EF93" w14:textId="77777777" w:rsidR="0091329E" w:rsidRDefault="0091329E" w:rsidP="0091329E">
      <w:pPr>
        <w:jc w:val="center"/>
      </w:pPr>
    </w:p>
    <w:p w14:paraId="40294413" w14:textId="77777777" w:rsidR="0091329E" w:rsidRDefault="0091329E" w:rsidP="0091329E">
      <w:pPr>
        <w:jc w:val="center"/>
      </w:pPr>
    </w:p>
    <w:p w14:paraId="1A5EE003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Interpretation</w:t>
      </w:r>
    </w:p>
    <w:p w14:paraId="44C494CD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overlay significantly reduces maximum drawdown while simultaneously improving risk-adjusted returns.</w:t>
      </w:r>
    </w:p>
    <w:p w14:paraId="448D61C7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observations:</w:t>
      </w:r>
    </w:p>
    <w:p w14:paraId="7EECD8F2" w14:textId="77777777" w:rsidR="0091329E" w:rsidRPr="0091329E" w:rsidRDefault="0091329E" w:rsidP="009132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Drawdown reduction exceeds 60% relative to buy-and-hold.</w:t>
      </w:r>
    </w:p>
    <w:p w14:paraId="5F4BAAF5" w14:textId="77777777" w:rsidR="0091329E" w:rsidRPr="0091329E" w:rsidRDefault="0091329E" w:rsidP="009132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Volatility is materially reduced.</w:t>
      </w:r>
    </w:p>
    <w:p w14:paraId="74EA5A2F" w14:textId="77777777" w:rsidR="0091329E" w:rsidRPr="0091329E" w:rsidRDefault="0091329E" w:rsidP="009132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Sharpe ratio nearly doubles.</w:t>
      </w:r>
    </w:p>
    <w:p w14:paraId="5D92AD77" w14:textId="77777777" w:rsidR="0091329E" w:rsidRPr="0091329E" w:rsidRDefault="0091329E" w:rsidP="009132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Calmar ratio improves substantially.</w:t>
      </w:r>
    </w:p>
    <w:p w14:paraId="5F1599C0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improvement does not stem from aggressive leverage or directional prediction, but from systematic exposure modulation during high-risk regimes.</w:t>
      </w:r>
    </w:p>
    <w:p w14:paraId="5AB84DB0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592C6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B894B33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Ethereum (ETH)</w:t>
      </w:r>
    </w:p>
    <w:p w14:paraId="0D16E3CF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assess cross-asset robustness, the identical framework was applied to ETH without parameter modification.</w:t>
      </w:r>
    </w:p>
    <w:p w14:paraId="422E2E7A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Period: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2017–2026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Frequency: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4-hour data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Validation:</w:t>
      </w: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Identical rolling procedure</w:t>
      </w:r>
    </w:p>
    <w:p w14:paraId="00B9D398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01"/>
        <w:gridCol w:w="2765"/>
      </w:tblGrid>
      <w:tr w:rsidR="0091329E" w:rsidRPr="0091329E" w14:paraId="5D0DA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71674" w14:textId="77777777" w:rsidR="0091329E" w:rsidRPr="0091329E" w:rsidRDefault="0091329E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254EBC" w14:textId="77777777" w:rsidR="0091329E" w:rsidRPr="0091329E" w:rsidRDefault="0091329E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Buy &amp; Hold</w:t>
            </w:r>
          </w:p>
        </w:tc>
        <w:tc>
          <w:tcPr>
            <w:tcW w:w="0" w:type="auto"/>
            <w:vAlign w:val="center"/>
            <w:hideMark/>
          </w:tcPr>
          <w:p w14:paraId="574A6B92" w14:textId="59BD4BF8" w:rsidR="0091329E" w:rsidRPr="0091329E" w:rsidRDefault="00DC675A" w:rsidP="00913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Regime + Tail Overlay</w:t>
            </w:r>
          </w:p>
        </w:tc>
      </w:tr>
      <w:tr w:rsidR="0091329E" w:rsidRPr="0091329E" w14:paraId="0DF0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F0D4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CAGR</w:t>
            </w:r>
          </w:p>
        </w:tc>
        <w:tc>
          <w:tcPr>
            <w:tcW w:w="0" w:type="auto"/>
            <w:vAlign w:val="center"/>
            <w:hideMark/>
          </w:tcPr>
          <w:p w14:paraId="5EDDEA0D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25.0%</w:t>
            </w:r>
          </w:p>
        </w:tc>
        <w:tc>
          <w:tcPr>
            <w:tcW w:w="0" w:type="auto"/>
            <w:vAlign w:val="center"/>
            <w:hideMark/>
          </w:tcPr>
          <w:p w14:paraId="0268EA4A" w14:textId="2B87588D" w:rsidR="0091329E" w:rsidRPr="0091329E" w:rsidRDefault="00DC675A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58.2%</w:t>
            </w:r>
          </w:p>
        </w:tc>
      </w:tr>
      <w:tr w:rsidR="0091329E" w:rsidRPr="0091329E" w14:paraId="6832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177B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Annualized Volatility</w:t>
            </w:r>
          </w:p>
        </w:tc>
        <w:tc>
          <w:tcPr>
            <w:tcW w:w="0" w:type="auto"/>
            <w:vAlign w:val="center"/>
            <w:hideMark/>
          </w:tcPr>
          <w:p w14:paraId="0895C671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87.6%</w:t>
            </w:r>
          </w:p>
        </w:tc>
        <w:tc>
          <w:tcPr>
            <w:tcW w:w="0" w:type="auto"/>
            <w:vAlign w:val="center"/>
            <w:hideMark/>
          </w:tcPr>
          <w:p w14:paraId="74EAA115" w14:textId="05CBA6A2" w:rsidR="0091329E" w:rsidRPr="0091329E" w:rsidRDefault="00DC675A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59.0%</w:t>
            </w:r>
          </w:p>
        </w:tc>
      </w:tr>
      <w:tr w:rsidR="0091329E" w:rsidRPr="0091329E" w14:paraId="62FC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1BC7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2BD4A2EC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77AF45B" w14:textId="21D2CB41" w:rsidR="0091329E" w:rsidRPr="0091329E" w:rsidRDefault="00DC675A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0.78</w:t>
            </w:r>
          </w:p>
        </w:tc>
      </w:tr>
      <w:tr w:rsidR="0091329E" w:rsidRPr="0091329E" w14:paraId="7453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8EF0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4B363C64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−94.1%</w:t>
            </w:r>
          </w:p>
        </w:tc>
        <w:tc>
          <w:tcPr>
            <w:tcW w:w="0" w:type="auto"/>
            <w:vAlign w:val="center"/>
            <w:hideMark/>
          </w:tcPr>
          <w:p w14:paraId="7AB7B2CC" w14:textId="0B68FA91" w:rsidR="0091329E" w:rsidRPr="0091329E" w:rsidRDefault="00DC675A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−77.1%</w:t>
            </w:r>
          </w:p>
        </w:tc>
      </w:tr>
      <w:tr w:rsidR="0091329E" w:rsidRPr="0091329E" w14:paraId="2FA3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735D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Calmar Ratio</w:t>
            </w:r>
          </w:p>
        </w:tc>
        <w:tc>
          <w:tcPr>
            <w:tcW w:w="0" w:type="auto"/>
            <w:vAlign w:val="center"/>
            <w:hideMark/>
          </w:tcPr>
          <w:p w14:paraId="3C138B88" w14:textId="77777777" w:rsidR="0091329E" w:rsidRPr="0091329E" w:rsidRDefault="0091329E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54DCA497" w14:textId="150D9054" w:rsidR="0091329E" w:rsidRPr="0091329E" w:rsidRDefault="00DC675A" w:rsidP="009132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</w:t>
            </w:r>
            <w:r w:rsidR="0091329E" w:rsidRPr="009132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0.76</w:t>
            </w:r>
          </w:p>
        </w:tc>
      </w:tr>
    </w:tbl>
    <w:p w14:paraId="1F26C0F0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Interpretation</w:t>
      </w:r>
    </w:p>
    <w:p w14:paraId="2CC48C3C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framework remains effective across assets:</w:t>
      </w:r>
    </w:p>
    <w:p w14:paraId="0B44937F" w14:textId="77777777" w:rsidR="0091329E" w:rsidRPr="0091329E" w:rsidRDefault="0091329E" w:rsidP="009132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Sharpe ratio more than triples.</w:t>
      </w:r>
    </w:p>
    <w:p w14:paraId="60DB1D5E" w14:textId="77777777" w:rsidR="0091329E" w:rsidRPr="0091329E" w:rsidRDefault="0091329E" w:rsidP="009132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Calmar ratio nearly triples.</w:t>
      </w:r>
    </w:p>
    <w:p w14:paraId="51027BC2" w14:textId="77777777" w:rsidR="0091329E" w:rsidRPr="0091329E" w:rsidRDefault="0091329E" w:rsidP="009132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Volatility is substantially reduced.</w:t>
      </w:r>
    </w:p>
    <w:p w14:paraId="6752AECB" w14:textId="77777777" w:rsidR="0091329E" w:rsidRPr="0091329E" w:rsidRDefault="0091329E" w:rsidP="009132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Drawdown is meaningfully improved, though less dramatically than BTC.</w:t>
      </w:r>
    </w:p>
    <w:p w14:paraId="6A08A278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consistency across BTC and ETH suggests structural robustness rather than asset-specific overfitting.</w:t>
      </w:r>
    </w:p>
    <w:p w14:paraId="684DD80B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FA0C9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FD9925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70C55A1D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DCAD4DA" w14:textId="77777777" w:rsidR="00DC675A" w:rsidRDefault="00DC675A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D6600E8" w14:textId="4DA9FFE5" w:rsidR="0091329E" w:rsidRPr="0091329E" w:rsidRDefault="0091329E" w:rsidP="009132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5. Interpretation and Commercial Relevance</w:t>
      </w:r>
    </w:p>
    <w:p w14:paraId="1D3D6EC5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 What the Model Is</w:t>
      </w:r>
    </w:p>
    <w:p w14:paraId="58CF2EA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framework is:</w:t>
      </w:r>
    </w:p>
    <w:p w14:paraId="1F3E2B51" w14:textId="77777777" w:rsidR="0091329E" w:rsidRPr="0091329E" w:rsidRDefault="0091329E" w:rsidP="009132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dynamic risk overlay.</w:t>
      </w:r>
    </w:p>
    <w:p w14:paraId="2F108A0F" w14:textId="77777777" w:rsidR="0091329E" w:rsidRPr="0091329E" w:rsidRDefault="0091329E" w:rsidP="009132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capital efficiency enhancer.</w:t>
      </w:r>
    </w:p>
    <w:p w14:paraId="288D2DCE" w14:textId="77777777" w:rsidR="0091329E" w:rsidRPr="0091329E" w:rsidRDefault="0091329E" w:rsidP="009132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volatility- and regime-aware exposure controller.</w:t>
      </w:r>
    </w:p>
    <w:p w14:paraId="4B22EED5" w14:textId="77777777" w:rsidR="0091329E" w:rsidRPr="0091329E" w:rsidRDefault="0091329E" w:rsidP="009132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systematic drawdown mitigation layer.</w:t>
      </w:r>
    </w:p>
    <w:p w14:paraId="163147A9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not designed to:</w:t>
      </w:r>
    </w:p>
    <w:p w14:paraId="7B96CF8B" w14:textId="77777777" w:rsidR="0091329E" w:rsidRPr="0091329E" w:rsidRDefault="0091329E" w:rsidP="009132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 exact market tops.</w:t>
      </w:r>
    </w:p>
    <w:p w14:paraId="63A50DB1" w14:textId="77777777" w:rsidR="0091329E" w:rsidRPr="0091329E" w:rsidRDefault="0091329E" w:rsidP="009132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pure directional alpha.</w:t>
      </w:r>
    </w:p>
    <w:p w14:paraId="4E0B256D" w14:textId="77777777" w:rsidR="0091329E" w:rsidRPr="0091329E" w:rsidRDefault="0091329E" w:rsidP="009132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Eliminate drawdowns entirely.</w:t>
      </w:r>
    </w:p>
    <w:p w14:paraId="1CA7B68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Instead, it aims to improve the trade-off between growth and capital preservation.</w:t>
      </w:r>
    </w:p>
    <w:p w14:paraId="6912B435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C1D59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983A8F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5.2 Institutional Use Case</w:t>
      </w:r>
    </w:p>
    <w:p w14:paraId="240B499B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Potential applications include:</w:t>
      </w:r>
    </w:p>
    <w:p w14:paraId="601387FD" w14:textId="77777777" w:rsidR="0091329E" w:rsidRPr="0091329E" w:rsidRDefault="0091329E" w:rsidP="009132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Crypto treasury management.</w:t>
      </w:r>
    </w:p>
    <w:p w14:paraId="6854D617" w14:textId="77777777" w:rsidR="0091329E" w:rsidRPr="0091329E" w:rsidRDefault="0091329E" w:rsidP="009132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Overlay for passive ETF exposure.</w:t>
      </w:r>
    </w:p>
    <w:p w14:paraId="19A620C0" w14:textId="77777777" w:rsidR="0091329E" w:rsidRPr="0091329E" w:rsidRDefault="0091329E" w:rsidP="009132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layer for systematic funds.</w:t>
      </w:r>
    </w:p>
    <w:p w14:paraId="15432AE9" w14:textId="77777777" w:rsidR="0091329E" w:rsidRPr="0091329E" w:rsidRDefault="0091329E" w:rsidP="009132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Capital protection framework for long-only strategies.</w:t>
      </w:r>
    </w:p>
    <w:p w14:paraId="4CD1F939" w14:textId="77777777" w:rsidR="0091329E" w:rsidRPr="0091329E" w:rsidRDefault="0091329E" w:rsidP="009132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Volatility-aware allocation engine for multi-asset portfolios.</w:t>
      </w:r>
    </w:p>
    <w:p w14:paraId="2E52CB9C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primary value proposition is:</w:t>
      </w:r>
    </w:p>
    <w:p w14:paraId="3959F996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Improving risk-adjusted returns without relying on aggressive prediction models or unstable multi-factor systems.</w:t>
      </w:r>
    </w:p>
    <w:p w14:paraId="4BC8C822" w14:textId="77777777" w:rsidR="0091329E" w:rsidRPr="0091329E" w:rsidRDefault="00BB6013" w:rsidP="009132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6C4D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B2959E" w14:textId="77777777" w:rsidR="0091329E" w:rsidRPr="0091329E" w:rsidRDefault="0091329E" w:rsidP="00913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5.3 Strategic Implications</w:t>
      </w:r>
    </w:p>
    <w:p w14:paraId="0E22C35D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Crypto adoption at institutional scale requires:</w:t>
      </w:r>
    </w:p>
    <w:p w14:paraId="66AD8F17" w14:textId="77777777" w:rsidR="0091329E" w:rsidRPr="0091329E" w:rsidRDefault="0091329E" w:rsidP="009132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volatility.</w:t>
      </w:r>
    </w:p>
    <w:p w14:paraId="2B574A10" w14:textId="77777777" w:rsidR="0091329E" w:rsidRPr="0091329E" w:rsidRDefault="0091329E" w:rsidP="009132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Controlled drawdowns.</w:t>
      </w:r>
    </w:p>
    <w:p w14:paraId="4EC10015" w14:textId="77777777" w:rsidR="0091329E" w:rsidRPr="0091329E" w:rsidRDefault="0091329E" w:rsidP="009132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Transparent and explainable models.</w:t>
      </w:r>
    </w:p>
    <w:p w14:paraId="5D2D0F47" w14:textId="77777777" w:rsidR="0091329E" w:rsidRPr="0091329E" w:rsidRDefault="0091329E" w:rsidP="0091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proposed framework aligns with these requirements:</w:t>
      </w:r>
    </w:p>
    <w:p w14:paraId="24AFF4FB" w14:textId="77777777" w:rsidR="0091329E" w:rsidRPr="0091329E" w:rsidRDefault="0091329E" w:rsidP="009132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Transparent mechanics (ATR + EMA200).</w:t>
      </w:r>
    </w:p>
    <w:p w14:paraId="0D560107" w14:textId="77777777" w:rsidR="0091329E" w:rsidRPr="0091329E" w:rsidRDefault="0091329E" w:rsidP="009132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 adaptive retraining.</w:t>
      </w:r>
    </w:p>
    <w:p w14:paraId="377213BA" w14:textId="77777777" w:rsidR="0091329E" w:rsidRPr="0091329E" w:rsidRDefault="0091329E" w:rsidP="009132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black-box deep learning.</w:t>
      </w:r>
    </w:p>
    <w:p w14:paraId="2E6BAA87" w14:textId="77777777" w:rsidR="0091329E" w:rsidRDefault="0091329E" w:rsidP="009132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132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Cross-asset validation.</w:t>
      </w:r>
    </w:p>
    <w:p w14:paraId="63489BBE" w14:textId="77777777" w:rsid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9032BCC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5D76429B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3011F39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08ECB81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DA60431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59E0FC8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39341F2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569CF28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9C2260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5518587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721911EA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332BC09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A6F58AD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4F16F88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F51BC1B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158A644" w14:textId="6B17E8FA" w:rsidR="00DC675A" w:rsidRP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Limitations and Risk Considerations</w:t>
      </w:r>
    </w:p>
    <w:p w14:paraId="30EF415A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quantitative framework is free from limitations. The following considerations are critical for proper interpretation.</w:t>
      </w:r>
    </w:p>
    <w:p w14:paraId="65AAF631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 Transaction Costs and Slippage</w:t>
      </w:r>
    </w:p>
    <w:p w14:paraId="6AB3ABD9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backtests do not include:</w:t>
      </w:r>
    </w:p>
    <w:p w14:paraId="09D4979A" w14:textId="77777777" w:rsidR="00DC675A" w:rsidRPr="00DC675A" w:rsidRDefault="00DC675A" w:rsidP="00DC67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Trading fees</w:t>
      </w:r>
    </w:p>
    <w:p w14:paraId="3BC89469" w14:textId="77777777" w:rsidR="00DC675A" w:rsidRPr="00DC675A" w:rsidRDefault="00DC675A" w:rsidP="00DC67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Slippage</w:t>
      </w:r>
    </w:p>
    <w:p w14:paraId="18F25318" w14:textId="77777777" w:rsidR="00DC675A" w:rsidRPr="00DC675A" w:rsidRDefault="00DC675A" w:rsidP="00DC67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impact</w:t>
      </w:r>
    </w:p>
    <w:p w14:paraId="236A761E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 the 4-hour frequency and exposure-based scaling (rather than high-frequency trading), turnover is moderate. However, real-world implementation would slightly reduce net performance.</w:t>
      </w:r>
    </w:p>
    <w:p w14:paraId="464231CB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F57AA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7D0ADD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6.2 Parameter Stability</w:t>
      </w:r>
    </w:p>
    <w:p w14:paraId="7C16C37B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framework uses:</w:t>
      </w:r>
    </w:p>
    <w:p w14:paraId="105647FD" w14:textId="77777777" w:rsidR="00DC675A" w:rsidRPr="00DC675A" w:rsidRDefault="00DC675A" w:rsidP="00DC67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ATR(14)</w:t>
      </w:r>
    </w:p>
    <w:p w14:paraId="59146397" w14:textId="77777777" w:rsidR="00DC675A" w:rsidRPr="00DC675A" w:rsidRDefault="00DC675A" w:rsidP="00DC67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EMA(200)</w:t>
      </w:r>
    </w:p>
    <w:p w14:paraId="7E3D77E9" w14:textId="77777777" w:rsidR="00DC675A" w:rsidRPr="00DC675A" w:rsidRDefault="00DC675A" w:rsidP="00DC67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EWMA span 20</w:t>
      </w:r>
    </w:p>
    <w:p w14:paraId="172E209B" w14:textId="77777777" w:rsidR="00DC675A" w:rsidRPr="00DC675A" w:rsidRDefault="00DC675A" w:rsidP="00DC67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 percentile 365</w:t>
      </w:r>
    </w:p>
    <w:p w14:paraId="5FA590A1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While these parameters are economically justified and not optimized per asset, performance sensitivity to parameter variation should be tested in production environments.</w:t>
      </w:r>
    </w:p>
    <w:p w14:paraId="6DAA64C6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DA08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CE8FC89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6.3 Extreme Regime Behavior</w:t>
      </w:r>
    </w:p>
    <w:p w14:paraId="512CF04E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overlay reduces exposure in bear regimes but does not:</w:t>
      </w:r>
    </w:p>
    <w:p w14:paraId="440BC6B0" w14:textId="77777777" w:rsidR="00DC675A" w:rsidRPr="00DC675A" w:rsidRDefault="00DC675A" w:rsidP="00DC67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Eliminate drawdowns entirely.</w:t>
      </w:r>
    </w:p>
    <w:p w14:paraId="12D22C6D" w14:textId="77777777" w:rsidR="00DC675A" w:rsidRPr="00DC675A" w:rsidRDefault="00DC675A" w:rsidP="00DC67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Hedge via short exposure.</w:t>
      </w:r>
    </w:p>
    <w:p w14:paraId="23FF06F3" w14:textId="77777777" w:rsidR="00DC675A" w:rsidRPr="00DC675A" w:rsidRDefault="00DC675A" w:rsidP="00DC67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leverage.</w:t>
      </w:r>
    </w:p>
    <w:p w14:paraId="09BA5858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a defensive overlay, not a market-neutral strategy.</w:t>
      </w:r>
    </w:p>
    <w:p w14:paraId="4CDBE70F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4B31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3C020B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6.4 Structural Assumptions</w:t>
      </w:r>
    </w:p>
    <w:p w14:paraId="3827206F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model assumes:</w:t>
      </w:r>
    </w:p>
    <w:p w14:paraId="50142441" w14:textId="77777777" w:rsidR="00DC675A" w:rsidRPr="00DC675A" w:rsidRDefault="00DC675A" w:rsidP="00DC67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Volatility expansion precedes extreme downside events.</w:t>
      </w:r>
    </w:p>
    <w:p w14:paraId="2FBFBAF7" w14:textId="77777777" w:rsidR="00DC675A" w:rsidRPr="00DC675A" w:rsidRDefault="00DC675A" w:rsidP="00DC67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Trend deterioration reflects prolonged structural weakness.</w:t>
      </w:r>
    </w:p>
    <w:p w14:paraId="6974580A" w14:textId="77777777" w:rsidR="00DC675A" w:rsidRPr="00DC675A" w:rsidRDefault="00DC675A" w:rsidP="00DC67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Historical regime dynamics are informative for future periods.</w:t>
      </w:r>
    </w:p>
    <w:p w14:paraId="2F626E52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market microstructure changes materially, recalibration may be required.</w:t>
      </w:r>
    </w:p>
    <w:p w14:paraId="6E2F0ED6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413D7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B3F8EA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CC59B5E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31C80CE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532FFC2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5F21A2AA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F21842A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1CC6255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FBB0448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5692AAB2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EACFBA7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E5919C9" w14:textId="53AB5371" w:rsidR="00DC675A" w:rsidRP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Future Extensions</w:t>
      </w:r>
    </w:p>
    <w:p w14:paraId="5B3EF907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current framework is intentionally minimalistic to ensure robustness. Several extensions are possible.</w:t>
      </w:r>
    </w:p>
    <w:p w14:paraId="19E4668D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7.1 Multi-Asset Overlay</w:t>
      </w:r>
    </w:p>
    <w:p w14:paraId="6A3EDD00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Extend the framework to:</w:t>
      </w:r>
    </w:p>
    <w:p w14:paraId="08B14888" w14:textId="77777777" w:rsidR="00DC675A" w:rsidRPr="00DC675A" w:rsidRDefault="00DC675A" w:rsidP="00DC67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crypto assets (SOL, BNB, etc.)</w:t>
      </w:r>
    </w:p>
    <w:p w14:paraId="143842BB" w14:textId="77777777" w:rsidR="00DC675A" w:rsidRPr="00DC675A" w:rsidRDefault="00DC675A" w:rsidP="00DC67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Multi-asset portfolios</w:t>
      </w:r>
    </w:p>
    <w:p w14:paraId="4D64B1AF" w14:textId="77777777" w:rsidR="00DC675A" w:rsidRPr="00DC675A" w:rsidRDefault="00DC675A" w:rsidP="00DC67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Risk-parity structures</w:t>
      </w:r>
    </w:p>
    <w:p w14:paraId="2B0177CB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3954E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5D6BD4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7.2 Volatility Term Structure</w:t>
      </w:r>
    </w:p>
    <w:p w14:paraId="04FE8FFE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Incorporate:</w:t>
      </w:r>
    </w:p>
    <w:p w14:paraId="34E6AD02" w14:textId="77777777" w:rsidR="00DC675A" w:rsidRPr="00DC675A" w:rsidRDefault="00DC675A" w:rsidP="00DC67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Implied volatility</w:t>
      </w:r>
    </w:p>
    <w:p w14:paraId="1088063D" w14:textId="77777777" w:rsidR="00DC675A" w:rsidRPr="00DC675A" w:rsidRDefault="00DC675A" w:rsidP="00DC67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Perpetual funding rates</w:t>
      </w:r>
    </w:p>
    <w:p w14:paraId="4D6403D6" w14:textId="77777777" w:rsidR="00DC675A" w:rsidRPr="00DC675A" w:rsidRDefault="00DC675A" w:rsidP="00DC67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 skew metrics</w:t>
      </w:r>
    </w:p>
    <w:p w14:paraId="10F412FE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enhance forward-looking risk detection.</w:t>
      </w:r>
    </w:p>
    <w:p w14:paraId="7E89637A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B9437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BA2AEA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7.3 On-Chain Risk Indicators</w:t>
      </w:r>
    </w:p>
    <w:p w14:paraId="3C0D4CEB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structural blockchain metrics such as:</w:t>
      </w:r>
    </w:p>
    <w:p w14:paraId="654C9B3A" w14:textId="77777777" w:rsidR="00DC675A" w:rsidRPr="00DC675A" w:rsidRDefault="00DC675A" w:rsidP="00DC67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Exchange inflow/outflow</w:t>
      </w:r>
    </w:p>
    <w:p w14:paraId="46EBE154" w14:textId="77777777" w:rsidR="00DC675A" w:rsidRPr="00DC675A" w:rsidRDefault="00DC675A" w:rsidP="00DC67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Realized volatility shifts</w:t>
      </w:r>
    </w:p>
    <w:p w14:paraId="62302483" w14:textId="77777777" w:rsidR="00DC675A" w:rsidRPr="00DC675A" w:rsidRDefault="00DC675A" w:rsidP="00DC67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Liquidation clusters</w:t>
      </w:r>
    </w:p>
    <w:p w14:paraId="6BF59CFD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EBB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948939" w14:textId="77777777" w:rsidR="00DC675A" w:rsidRPr="00DC675A" w:rsidRDefault="00DC675A" w:rsidP="00DC6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7.4 Adaptive Regime Thresholds</w:t>
      </w:r>
    </w:p>
    <w:p w14:paraId="05613E88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Dynamic adjustment of:</w:t>
      </w:r>
    </w:p>
    <w:p w14:paraId="7EA88D51" w14:textId="77777777" w:rsidR="00DC675A" w:rsidRPr="00DC675A" w:rsidRDefault="00DC675A" w:rsidP="00DC67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Regime exposure weights</w:t>
      </w:r>
    </w:p>
    <w:p w14:paraId="2342592F" w14:textId="77777777" w:rsidR="00DC675A" w:rsidRPr="00DC675A" w:rsidRDefault="00DC675A" w:rsidP="00DC67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Tail percentiles</w:t>
      </w:r>
    </w:p>
    <w:p w14:paraId="4364242F" w14:textId="77777777" w:rsidR="00DC675A" w:rsidRPr="00DC675A" w:rsidRDefault="00DC675A" w:rsidP="00DC67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thresholds</w:t>
      </w:r>
    </w:p>
    <w:p w14:paraId="73CCFD2E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macro volatility conditions.</w:t>
      </w:r>
    </w:p>
    <w:p w14:paraId="1A19D350" w14:textId="77777777" w:rsidR="00DC675A" w:rsidRPr="00DC675A" w:rsidRDefault="00BB6013" w:rsidP="00DC67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0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176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0D8C47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798B1569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7D836F6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32EF6B1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18B516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22A081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90007E1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2C4401D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D83230B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5FD38484" w14:textId="77777777" w:rsid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BCC5271" w14:textId="3AE4350A" w:rsidR="00DC675A" w:rsidRPr="00DC675A" w:rsidRDefault="00DC675A" w:rsidP="00DC6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Conclusion</w:t>
      </w:r>
    </w:p>
    <w:p w14:paraId="1883A39A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Crypto markets present unique structural challenges:</w:t>
      </w:r>
    </w:p>
    <w:p w14:paraId="0D2809AA" w14:textId="77777777" w:rsidR="00DC675A" w:rsidRPr="00DC675A" w:rsidRDefault="00DC675A" w:rsidP="00DC67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Extreme volatility</w:t>
      </w:r>
    </w:p>
    <w:p w14:paraId="54077382" w14:textId="77777777" w:rsidR="00DC675A" w:rsidRPr="00DC675A" w:rsidRDefault="00DC675A" w:rsidP="00DC67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Deep drawdowns</w:t>
      </w:r>
    </w:p>
    <w:p w14:paraId="3CE71745" w14:textId="77777777" w:rsidR="00DC675A" w:rsidRPr="00DC675A" w:rsidRDefault="00DC675A" w:rsidP="00DC67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Rapid regime transitions</w:t>
      </w:r>
    </w:p>
    <w:p w14:paraId="08749221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buy-and-hold approaches expose capital to severe interim losses, while complex predictive models often introduce instability and overfitting.</w:t>
      </w:r>
    </w:p>
    <w:p w14:paraId="7B16AA37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paper introduced a regime-adaptive tail risk overlay combining:</w:t>
      </w:r>
    </w:p>
    <w:p w14:paraId="2F8D02F5" w14:textId="77777777" w:rsidR="00DC675A" w:rsidRPr="00DC675A" w:rsidRDefault="00DC675A" w:rsidP="00DC67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rolling ATR-based tail probability engine.</w:t>
      </w:r>
    </w:p>
    <w:p w14:paraId="4FB737F6" w14:textId="77777777" w:rsidR="00DC675A" w:rsidRPr="00DC675A" w:rsidRDefault="00DC675A" w:rsidP="00DC67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structural EMA-based regime filter.</w:t>
      </w:r>
    </w:p>
    <w:p w14:paraId="42EAB2BB" w14:textId="77777777" w:rsidR="00DC675A" w:rsidRPr="00DC675A" w:rsidRDefault="00DC675A" w:rsidP="00DC67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systematic exposure scaling mechanism.</w:t>
      </w:r>
    </w:p>
    <w:p w14:paraId="40D78C05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Across BTC and ETH (2017–2026), the framework:</w:t>
      </w:r>
    </w:p>
    <w:p w14:paraId="28237EB9" w14:textId="77777777" w:rsidR="00DC675A" w:rsidRPr="00DC675A" w:rsidRDefault="00DC675A" w:rsidP="00DC67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maximum drawdown materially.</w:t>
      </w:r>
    </w:p>
    <w:p w14:paraId="74C1500D" w14:textId="77777777" w:rsidR="00DC675A" w:rsidRPr="00DC675A" w:rsidRDefault="00DC675A" w:rsidP="00DC67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Improved Sharpe and Calmar ratios.</w:t>
      </w:r>
    </w:p>
    <w:p w14:paraId="3729028D" w14:textId="77777777" w:rsidR="00DC675A" w:rsidRPr="00DC675A" w:rsidRDefault="00DC675A" w:rsidP="00DC67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Demonstrated cross-asset robustness without parameter retuning.</w:t>
      </w:r>
    </w:p>
    <w:p w14:paraId="3B53B06B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is not crash prediction perfection, but capital efficiency improvement through disciplined exposure management.</w:t>
      </w:r>
    </w:p>
    <w:p w14:paraId="14A3C081" w14:textId="77777777" w:rsidR="00DC675A" w:rsidRPr="00DC675A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C675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results suggest that combining structural trend awareness with volatility-based tail detection offers a transparent and robust pathway toward institutional-grade crypto risk management.</w:t>
      </w:r>
    </w:p>
    <w:p w14:paraId="50D5B58C" w14:textId="77777777" w:rsidR="00DC675A" w:rsidRPr="0091329E" w:rsidRDefault="00DC675A" w:rsidP="00DC6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919CABA" w14:textId="77777777" w:rsidR="0091329E" w:rsidRDefault="0091329E" w:rsidP="0091329E">
      <w:pPr>
        <w:jc w:val="center"/>
      </w:pPr>
    </w:p>
    <w:sectPr w:rsidR="00913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F55"/>
    <w:multiLevelType w:val="multilevel"/>
    <w:tmpl w:val="6CD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77FE"/>
    <w:multiLevelType w:val="multilevel"/>
    <w:tmpl w:val="3EC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6A7"/>
    <w:multiLevelType w:val="multilevel"/>
    <w:tmpl w:val="765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7D1B"/>
    <w:multiLevelType w:val="multilevel"/>
    <w:tmpl w:val="ACC8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64F0C"/>
    <w:multiLevelType w:val="multilevel"/>
    <w:tmpl w:val="876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12EC"/>
    <w:multiLevelType w:val="multilevel"/>
    <w:tmpl w:val="417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5457"/>
    <w:multiLevelType w:val="multilevel"/>
    <w:tmpl w:val="938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72174"/>
    <w:multiLevelType w:val="multilevel"/>
    <w:tmpl w:val="503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31A6F"/>
    <w:multiLevelType w:val="multilevel"/>
    <w:tmpl w:val="952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408C"/>
    <w:multiLevelType w:val="multilevel"/>
    <w:tmpl w:val="D4B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25F43"/>
    <w:multiLevelType w:val="multilevel"/>
    <w:tmpl w:val="CC0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61952"/>
    <w:multiLevelType w:val="multilevel"/>
    <w:tmpl w:val="4E0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15AAC"/>
    <w:multiLevelType w:val="multilevel"/>
    <w:tmpl w:val="9F7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83FC1"/>
    <w:multiLevelType w:val="multilevel"/>
    <w:tmpl w:val="474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A3152"/>
    <w:multiLevelType w:val="multilevel"/>
    <w:tmpl w:val="BEF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C0E88"/>
    <w:multiLevelType w:val="multilevel"/>
    <w:tmpl w:val="4B4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D4E04"/>
    <w:multiLevelType w:val="multilevel"/>
    <w:tmpl w:val="741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743AE"/>
    <w:multiLevelType w:val="multilevel"/>
    <w:tmpl w:val="572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43F34"/>
    <w:multiLevelType w:val="multilevel"/>
    <w:tmpl w:val="C0C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A7EE1"/>
    <w:multiLevelType w:val="multilevel"/>
    <w:tmpl w:val="985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D6920"/>
    <w:multiLevelType w:val="multilevel"/>
    <w:tmpl w:val="5B4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B64ED"/>
    <w:multiLevelType w:val="multilevel"/>
    <w:tmpl w:val="4B9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40B6E"/>
    <w:multiLevelType w:val="multilevel"/>
    <w:tmpl w:val="74E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D005A"/>
    <w:multiLevelType w:val="multilevel"/>
    <w:tmpl w:val="666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C091B"/>
    <w:multiLevelType w:val="multilevel"/>
    <w:tmpl w:val="23A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D3C6C"/>
    <w:multiLevelType w:val="multilevel"/>
    <w:tmpl w:val="8A1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41916"/>
    <w:multiLevelType w:val="multilevel"/>
    <w:tmpl w:val="1D7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B1564"/>
    <w:multiLevelType w:val="multilevel"/>
    <w:tmpl w:val="82B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B43A0"/>
    <w:multiLevelType w:val="multilevel"/>
    <w:tmpl w:val="403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42D94"/>
    <w:multiLevelType w:val="multilevel"/>
    <w:tmpl w:val="6BF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54607"/>
    <w:multiLevelType w:val="multilevel"/>
    <w:tmpl w:val="8ED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86F1C"/>
    <w:multiLevelType w:val="multilevel"/>
    <w:tmpl w:val="A9C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F7D0F"/>
    <w:multiLevelType w:val="multilevel"/>
    <w:tmpl w:val="DBFA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953060">
    <w:abstractNumId w:val="3"/>
  </w:num>
  <w:num w:numId="2" w16cid:durableId="629628445">
    <w:abstractNumId w:val="10"/>
  </w:num>
  <w:num w:numId="3" w16cid:durableId="423841882">
    <w:abstractNumId w:val="17"/>
  </w:num>
  <w:num w:numId="4" w16cid:durableId="1877810803">
    <w:abstractNumId w:val="19"/>
  </w:num>
  <w:num w:numId="5" w16cid:durableId="1953131168">
    <w:abstractNumId w:val="31"/>
  </w:num>
  <w:num w:numId="6" w16cid:durableId="553007100">
    <w:abstractNumId w:val="32"/>
  </w:num>
  <w:num w:numId="7" w16cid:durableId="1870295990">
    <w:abstractNumId w:val="21"/>
  </w:num>
  <w:num w:numId="8" w16cid:durableId="1684942673">
    <w:abstractNumId w:val="18"/>
  </w:num>
  <w:num w:numId="9" w16cid:durableId="399711836">
    <w:abstractNumId w:val="12"/>
  </w:num>
  <w:num w:numId="10" w16cid:durableId="1761755656">
    <w:abstractNumId w:val="26"/>
  </w:num>
  <w:num w:numId="11" w16cid:durableId="749814787">
    <w:abstractNumId w:val="29"/>
  </w:num>
  <w:num w:numId="12" w16cid:durableId="1979413724">
    <w:abstractNumId w:val="6"/>
  </w:num>
  <w:num w:numId="13" w16cid:durableId="1957830927">
    <w:abstractNumId w:val="30"/>
  </w:num>
  <w:num w:numId="14" w16cid:durableId="2050303738">
    <w:abstractNumId w:val="22"/>
  </w:num>
  <w:num w:numId="15" w16cid:durableId="2113357568">
    <w:abstractNumId w:val="5"/>
  </w:num>
  <w:num w:numId="16" w16cid:durableId="1660500139">
    <w:abstractNumId w:val="14"/>
  </w:num>
  <w:num w:numId="17" w16cid:durableId="1808280822">
    <w:abstractNumId w:val="8"/>
  </w:num>
  <w:num w:numId="18" w16cid:durableId="1539198005">
    <w:abstractNumId w:val="9"/>
  </w:num>
  <w:num w:numId="19" w16cid:durableId="1259020349">
    <w:abstractNumId w:val="25"/>
  </w:num>
  <w:num w:numId="20" w16cid:durableId="1473788406">
    <w:abstractNumId w:val="1"/>
  </w:num>
  <w:num w:numId="21" w16cid:durableId="357433979">
    <w:abstractNumId w:val="24"/>
  </w:num>
  <w:num w:numId="22" w16cid:durableId="73940218">
    <w:abstractNumId w:val="23"/>
  </w:num>
  <w:num w:numId="23" w16cid:durableId="829373371">
    <w:abstractNumId w:val="11"/>
  </w:num>
  <w:num w:numId="24" w16cid:durableId="850947219">
    <w:abstractNumId w:val="15"/>
  </w:num>
  <w:num w:numId="25" w16cid:durableId="683090024">
    <w:abstractNumId w:val="2"/>
  </w:num>
  <w:num w:numId="26" w16cid:durableId="1649672476">
    <w:abstractNumId w:val="0"/>
  </w:num>
  <w:num w:numId="27" w16cid:durableId="474833484">
    <w:abstractNumId w:val="13"/>
  </w:num>
  <w:num w:numId="28" w16cid:durableId="624240024">
    <w:abstractNumId w:val="20"/>
  </w:num>
  <w:num w:numId="29" w16cid:durableId="1240745988">
    <w:abstractNumId w:val="28"/>
  </w:num>
  <w:num w:numId="30" w16cid:durableId="1862091159">
    <w:abstractNumId w:val="7"/>
  </w:num>
  <w:num w:numId="31" w16cid:durableId="1573546232">
    <w:abstractNumId w:val="4"/>
  </w:num>
  <w:num w:numId="32" w16cid:durableId="470221105">
    <w:abstractNumId w:val="16"/>
  </w:num>
  <w:num w:numId="33" w16cid:durableId="19480819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9E"/>
    <w:rsid w:val="00144E41"/>
    <w:rsid w:val="004C7A62"/>
    <w:rsid w:val="0091329E"/>
    <w:rsid w:val="00B02903"/>
    <w:rsid w:val="00BB6013"/>
    <w:rsid w:val="00DC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2B73"/>
  <w15:chartTrackingRefBased/>
  <w15:docId w15:val="{D71DCE14-9E68-E442-A6F9-2825F63D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329E"/>
    <w:rPr>
      <w:b/>
      <w:bCs/>
    </w:rPr>
  </w:style>
  <w:style w:type="character" w:customStyle="1" w:styleId="apple-converted-space">
    <w:name w:val="apple-converted-space"/>
    <w:basedOn w:val="DefaultParagraphFont"/>
    <w:rsid w:val="00913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1681</Words>
  <Characters>9669</Characters>
  <Application>Microsoft Office Word</Application>
  <DocSecurity>0</DocSecurity>
  <Lines>210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Murgia</dc:creator>
  <cp:keywords/>
  <dc:description/>
  <cp:lastModifiedBy>Riccardo Murgia</cp:lastModifiedBy>
  <cp:revision>1</cp:revision>
  <dcterms:created xsi:type="dcterms:W3CDTF">2026-03-01T19:30:00Z</dcterms:created>
  <dcterms:modified xsi:type="dcterms:W3CDTF">2026-03-01T19:45:00Z</dcterms:modified>
</cp:coreProperties>
</file>