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A" w:rsidRPr="002304FA" w:rsidRDefault="002304FA" w:rsidP="002304FA">
      <w:pPr>
        <w:spacing w:before="100" w:beforeAutospacing="1" w:after="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Data Analysis Report</w:t>
      </w:r>
    </w:p>
    <w:p w:rsidR="002304FA" w:rsidRPr="00565E45" w:rsidRDefault="002304FA" w:rsidP="002304FA">
      <w:pPr>
        <w:spacing w:before="100" w:beforeAutospacing="1" w:after="240" w:line="240" w:lineRule="auto"/>
        <w:rPr>
          <w:rFonts w:ascii="Times New Roman" w:eastAsia="Times New Roman" w:hAnsi="Times New Roman" w:cs="Times New Roman"/>
          <w:color w:val="1B1C1D"/>
          <w:sz w:val="24"/>
          <w:szCs w:val="24"/>
        </w:rPr>
      </w:pPr>
      <w:r w:rsidRPr="002304FA">
        <w:rPr>
          <w:rFonts w:ascii="Times New Roman" w:eastAsia="Times New Roman" w:hAnsi="Times New Roman" w:cs="Times New Roman"/>
          <w:color w:val="1B1C1D"/>
          <w:sz w:val="24"/>
          <w:szCs w:val="24"/>
        </w:rPr>
        <w:t xml:space="preserve">This analysis aimed to comprehensively understand the dynamics of </w:t>
      </w:r>
      <w:r w:rsidRPr="00565E45">
        <w:rPr>
          <w:rFonts w:ascii="Times New Roman" w:eastAsia="Times New Roman" w:hAnsi="Times New Roman" w:cs="Times New Roman"/>
          <w:color w:val="1B1C1D"/>
          <w:sz w:val="24"/>
          <w:szCs w:val="24"/>
        </w:rPr>
        <w:t xml:space="preserve">student conference attendance, focusing on the financial barriers </w:t>
      </w:r>
      <w:r w:rsidR="00FF5B67" w:rsidRPr="00565E45">
        <w:rPr>
          <w:rFonts w:ascii="Times New Roman" w:eastAsia="Times New Roman" w:hAnsi="Times New Roman" w:cs="Times New Roman"/>
          <w:color w:val="1B1C1D"/>
          <w:sz w:val="24"/>
          <w:szCs w:val="24"/>
        </w:rPr>
        <w:t xml:space="preserve">hindering attendance among medical students. Analysis was done with Python 3.13 pip version 25.1.1 and pandas, </w:t>
      </w:r>
      <w:proofErr w:type="spellStart"/>
      <w:r w:rsidR="00FF5B67" w:rsidRPr="00565E45">
        <w:rPr>
          <w:rFonts w:ascii="Times New Roman" w:eastAsia="Times New Roman" w:hAnsi="Times New Roman" w:cs="Times New Roman"/>
          <w:color w:val="1B1C1D"/>
          <w:sz w:val="24"/>
          <w:szCs w:val="24"/>
        </w:rPr>
        <w:t>scikit</w:t>
      </w:r>
      <w:proofErr w:type="spellEnd"/>
      <w:r w:rsidR="00FF5B67" w:rsidRPr="00565E45">
        <w:rPr>
          <w:rFonts w:ascii="Times New Roman" w:eastAsia="Times New Roman" w:hAnsi="Times New Roman" w:cs="Times New Roman"/>
          <w:color w:val="1B1C1D"/>
          <w:sz w:val="24"/>
          <w:szCs w:val="24"/>
        </w:rPr>
        <w:t xml:space="preserve">-learn, </w:t>
      </w:r>
      <w:proofErr w:type="spellStart"/>
      <w:r w:rsidR="00FF5B67" w:rsidRPr="00565E45">
        <w:rPr>
          <w:rFonts w:ascii="Times New Roman" w:eastAsia="Times New Roman" w:hAnsi="Times New Roman" w:cs="Times New Roman"/>
          <w:color w:val="1B1C1D"/>
          <w:sz w:val="24"/>
          <w:szCs w:val="24"/>
        </w:rPr>
        <w:t>matplotlib</w:t>
      </w:r>
      <w:proofErr w:type="spellEnd"/>
      <w:r w:rsidR="00FF5B67" w:rsidRPr="00565E45">
        <w:rPr>
          <w:rFonts w:ascii="Times New Roman" w:eastAsia="Times New Roman" w:hAnsi="Times New Roman" w:cs="Times New Roman"/>
          <w:color w:val="1B1C1D"/>
          <w:sz w:val="24"/>
          <w:szCs w:val="24"/>
        </w:rPr>
        <w:t>/</w:t>
      </w:r>
      <w:proofErr w:type="spellStart"/>
      <w:r w:rsidR="00FF5B67" w:rsidRPr="00565E45">
        <w:rPr>
          <w:rFonts w:ascii="Times New Roman" w:eastAsia="Times New Roman" w:hAnsi="Times New Roman" w:cs="Times New Roman"/>
          <w:color w:val="1B1C1D"/>
          <w:sz w:val="24"/>
          <w:szCs w:val="24"/>
        </w:rPr>
        <w:t>seaborn</w:t>
      </w:r>
      <w:proofErr w:type="spellEnd"/>
      <w:r w:rsidR="00FF5B67" w:rsidRPr="00565E45">
        <w:rPr>
          <w:rFonts w:ascii="Times New Roman" w:eastAsia="Times New Roman" w:hAnsi="Times New Roman" w:cs="Times New Roman"/>
          <w:color w:val="1B1C1D"/>
          <w:sz w:val="24"/>
          <w:szCs w:val="24"/>
        </w:rPr>
        <w:t xml:space="preserve"> and </w:t>
      </w:r>
      <w:proofErr w:type="spellStart"/>
      <w:r w:rsidR="00FF5B67" w:rsidRPr="00565E45">
        <w:rPr>
          <w:rFonts w:ascii="Times New Roman" w:eastAsia="Times New Roman" w:hAnsi="Times New Roman" w:cs="Times New Roman"/>
          <w:color w:val="1B1C1D"/>
          <w:sz w:val="24"/>
          <w:szCs w:val="24"/>
        </w:rPr>
        <w:t>wordcloud</w:t>
      </w:r>
      <w:proofErr w:type="spellEnd"/>
      <w:r w:rsidR="00FF5B67" w:rsidRPr="00565E45">
        <w:rPr>
          <w:rFonts w:ascii="Times New Roman" w:eastAsia="Times New Roman" w:hAnsi="Times New Roman" w:cs="Times New Roman"/>
          <w:color w:val="1B1C1D"/>
          <w:sz w:val="24"/>
          <w:szCs w:val="24"/>
        </w:rPr>
        <w:t xml:space="preserve"> libraries were used. </w:t>
      </w:r>
      <w:r w:rsidRPr="002304FA">
        <w:rPr>
          <w:rFonts w:ascii="Times New Roman" w:eastAsia="Times New Roman" w:hAnsi="Times New Roman" w:cs="Times New Roman"/>
          <w:color w:val="1B1C1D"/>
          <w:sz w:val="24"/>
          <w:szCs w:val="24"/>
        </w:rPr>
        <w:t>The insights were derived from quantitative data analysis (including chi-square tests,</w:t>
      </w:r>
      <w:r w:rsidR="00FF5B67" w:rsidRPr="00565E45">
        <w:rPr>
          <w:rFonts w:ascii="Times New Roman" w:eastAsia="Times New Roman" w:hAnsi="Times New Roman" w:cs="Times New Roman"/>
          <w:color w:val="1B1C1D"/>
          <w:sz w:val="24"/>
          <w:szCs w:val="24"/>
        </w:rPr>
        <w:t xml:space="preserve"> binary logistic regression,</w:t>
      </w:r>
      <w:r w:rsidRPr="002304FA">
        <w:rPr>
          <w:rFonts w:ascii="Times New Roman" w:eastAsia="Times New Roman" w:hAnsi="Times New Roman" w:cs="Times New Roman"/>
          <w:color w:val="1B1C1D"/>
          <w:sz w:val="24"/>
          <w:szCs w:val="24"/>
        </w:rPr>
        <w:t xml:space="preserve"> bar charts of attendance rates, and distributions) and qualitative analysis of student suggestions and considerations.</w:t>
      </w:r>
    </w:p>
    <w:p w:rsidR="000B72B5" w:rsidRPr="00565E45" w:rsidRDefault="000B72B5" w:rsidP="002304FA">
      <w:p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t xml:space="preserve">The dataset consists of responses from </w:t>
      </w:r>
      <w:r w:rsidR="00B44F49" w:rsidRPr="00565E45">
        <w:rPr>
          <w:rFonts w:ascii="Times New Roman" w:eastAsia="Times New Roman" w:hAnsi="Times New Roman" w:cs="Times New Roman"/>
          <w:color w:val="1B1C1D"/>
          <w:sz w:val="24"/>
          <w:szCs w:val="24"/>
        </w:rPr>
        <w:t xml:space="preserve">49 </w:t>
      </w:r>
      <w:r w:rsidRPr="00565E45">
        <w:rPr>
          <w:rFonts w:ascii="Times New Roman" w:eastAsia="Times New Roman" w:hAnsi="Times New Roman" w:cs="Times New Roman"/>
          <w:color w:val="1B1C1D"/>
          <w:sz w:val="24"/>
          <w:szCs w:val="24"/>
        </w:rPr>
        <w:t xml:space="preserve">medical students across Nigeria, focusing on conference attendance patterns and financial considerations. Key variables analyzed include: </w:t>
      </w:r>
    </w:p>
    <w:p w:rsidR="000B72B5" w:rsidRPr="00565E45" w:rsidRDefault="000B72B5" w:rsidP="000B72B5">
      <w:pPr>
        <w:pStyle w:val="ListParagraph"/>
        <w:numPr>
          <w:ilvl w:val="0"/>
          <w:numId w:val="9"/>
        </w:num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t>Conference attendance (Yes/No) – Dependent variable</w:t>
      </w:r>
    </w:p>
    <w:p w:rsidR="000B72B5" w:rsidRPr="00565E45" w:rsidRDefault="000B72B5" w:rsidP="000B72B5">
      <w:pPr>
        <w:pStyle w:val="ListParagraph"/>
        <w:numPr>
          <w:ilvl w:val="0"/>
          <w:numId w:val="9"/>
        </w:num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t>Expected registration fees – categorical</w:t>
      </w:r>
    </w:p>
    <w:p w:rsidR="000B72B5" w:rsidRPr="00565E45" w:rsidRDefault="000B72B5" w:rsidP="000B72B5">
      <w:pPr>
        <w:pStyle w:val="ListParagraph"/>
        <w:numPr>
          <w:ilvl w:val="0"/>
          <w:numId w:val="9"/>
        </w:num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t>Monthly income – categorical</w:t>
      </w:r>
    </w:p>
    <w:p w:rsidR="000B72B5" w:rsidRPr="00565E45" w:rsidRDefault="000B72B5" w:rsidP="000B72B5">
      <w:pPr>
        <w:pStyle w:val="ListParagraph"/>
        <w:numPr>
          <w:ilvl w:val="0"/>
          <w:numId w:val="9"/>
        </w:num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t>Geopolitical zone – categorical</w:t>
      </w:r>
    </w:p>
    <w:p w:rsidR="000B72B5" w:rsidRPr="00565E45" w:rsidRDefault="000B72B5" w:rsidP="000B72B5">
      <w:p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t>Missing values were handled by dropping rows with empty values.</w:t>
      </w:r>
    </w:p>
    <w:p w:rsidR="000B72B5" w:rsidRPr="00565E45" w:rsidRDefault="000B72B5" w:rsidP="000B72B5">
      <w:pPr>
        <w:spacing w:before="100" w:beforeAutospacing="1" w:after="240" w:line="240" w:lineRule="auto"/>
        <w:rPr>
          <w:rFonts w:ascii="Times New Roman" w:eastAsia="Times New Roman" w:hAnsi="Times New Roman" w:cs="Times New Roman"/>
          <w:b/>
          <w:color w:val="1B1C1D"/>
          <w:sz w:val="24"/>
          <w:szCs w:val="24"/>
        </w:rPr>
      </w:pPr>
      <w:r w:rsidRPr="00565E45">
        <w:rPr>
          <w:rFonts w:ascii="Times New Roman" w:eastAsia="Times New Roman" w:hAnsi="Times New Roman" w:cs="Times New Roman"/>
          <w:b/>
          <w:color w:val="1B1C1D"/>
          <w:sz w:val="24"/>
          <w:szCs w:val="24"/>
        </w:rPr>
        <w:t>Descriptive Statistics:</w:t>
      </w:r>
    </w:p>
    <w:p w:rsidR="00B44F49" w:rsidRPr="00565E45" w:rsidRDefault="00B44F49" w:rsidP="00B44F49">
      <w:pPr>
        <w:pStyle w:val="ListParagraph"/>
        <w:numPr>
          <w:ilvl w:val="0"/>
          <w:numId w:val="10"/>
        </w:num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t xml:space="preserve">Respondents cut across all levels of medical school, but were mostly 400 level students aged mainly 23-26 years old. The data also cut across all geopolitical zones of Nigeria and here were more male participants than females. </w:t>
      </w:r>
    </w:p>
    <w:p w:rsidR="00110394" w:rsidRPr="00565E45" w:rsidRDefault="000B72B5" w:rsidP="00110394">
      <w:pPr>
        <w:pStyle w:val="ListParagraph"/>
        <w:numPr>
          <w:ilvl w:val="0"/>
          <w:numId w:val="10"/>
        </w:num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t>Attendance rate: Approximately 42.3% of respondents reported attending at least one conference</w:t>
      </w:r>
    </w:p>
    <w:p w:rsidR="00B44F49" w:rsidRPr="00565E45" w:rsidRDefault="000B72B5" w:rsidP="00B44F49">
      <w:pPr>
        <w:pStyle w:val="ListParagraph"/>
        <w:numPr>
          <w:ilvl w:val="0"/>
          <w:numId w:val="10"/>
        </w:num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t>Income distribution</w:t>
      </w:r>
      <w:r w:rsidR="00211E4A" w:rsidRPr="00565E45">
        <w:rPr>
          <w:rFonts w:ascii="Times New Roman" w:eastAsia="Times New Roman" w:hAnsi="Times New Roman" w:cs="Times New Roman"/>
          <w:color w:val="1B1C1D"/>
          <w:sz w:val="24"/>
          <w:szCs w:val="24"/>
        </w:rPr>
        <w:t xml:space="preserve">: The majority of students reported earning between </w:t>
      </w:r>
      <w:r w:rsidR="00211E4A" w:rsidRPr="00565E45">
        <w:rPr>
          <w:rFonts w:ascii="Times New Roman" w:eastAsia="Times New Roman" w:hAnsi="Times New Roman" w:cs="Times New Roman"/>
          <w:color w:val="1B1C1D"/>
          <w:sz w:val="24"/>
          <w:szCs w:val="24"/>
        </w:rPr>
        <w:t>₦</w:t>
      </w:r>
      <w:r w:rsidR="00211E4A" w:rsidRPr="00565E45">
        <w:rPr>
          <w:rFonts w:ascii="Times New Roman" w:eastAsia="Times New Roman" w:hAnsi="Times New Roman" w:cs="Times New Roman"/>
          <w:color w:val="1B1C1D"/>
          <w:sz w:val="24"/>
          <w:szCs w:val="24"/>
        </w:rPr>
        <w:t xml:space="preserve">20,000 to </w:t>
      </w:r>
      <w:r w:rsidR="00211E4A" w:rsidRPr="00565E45">
        <w:rPr>
          <w:rFonts w:ascii="Times New Roman" w:eastAsia="Times New Roman" w:hAnsi="Times New Roman" w:cs="Times New Roman"/>
          <w:color w:val="1B1C1D"/>
          <w:sz w:val="24"/>
          <w:szCs w:val="24"/>
        </w:rPr>
        <w:t>₦</w:t>
      </w:r>
      <w:r w:rsidR="00211E4A" w:rsidRPr="00565E45">
        <w:rPr>
          <w:rFonts w:ascii="Times New Roman" w:eastAsia="Times New Roman" w:hAnsi="Times New Roman" w:cs="Times New Roman"/>
          <w:color w:val="1B1C1D"/>
          <w:sz w:val="24"/>
          <w:szCs w:val="24"/>
        </w:rPr>
        <w:t xml:space="preserve">40,000 monthly, with the highest conference attendance rate among students who earned more than </w:t>
      </w:r>
      <w:r w:rsidR="00211E4A" w:rsidRPr="00565E45">
        <w:rPr>
          <w:rFonts w:ascii="Times New Roman" w:eastAsia="Times New Roman" w:hAnsi="Times New Roman" w:cs="Times New Roman"/>
          <w:color w:val="1B1C1D"/>
          <w:sz w:val="24"/>
          <w:szCs w:val="24"/>
        </w:rPr>
        <w:t>₦</w:t>
      </w:r>
      <w:r w:rsidR="00211E4A" w:rsidRPr="00565E45">
        <w:rPr>
          <w:rFonts w:ascii="Times New Roman" w:eastAsia="Times New Roman" w:hAnsi="Times New Roman" w:cs="Times New Roman"/>
          <w:color w:val="1B1C1D"/>
          <w:sz w:val="24"/>
          <w:szCs w:val="24"/>
        </w:rPr>
        <w:t>100,000 monthly.</w:t>
      </w:r>
    </w:p>
    <w:p w:rsidR="004934FB" w:rsidRPr="00565E45" w:rsidRDefault="000B72B5" w:rsidP="004934FB">
      <w:pPr>
        <w:pStyle w:val="ListParagraph"/>
        <w:numPr>
          <w:ilvl w:val="0"/>
          <w:numId w:val="10"/>
        </w:num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t>Expected fees</w:t>
      </w:r>
      <w:r w:rsidR="00211E4A" w:rsidRPr="00565E45">
        <w:rPr>
          <w:rFonts w:ascii="Times New Roman" w:eastAsia="Times New Roman" w:hAnsi="Times New Roman" w:cs="Times New Roman"/>
          <w:color w:val="1B1C1D"/>
          <w:sz w:val="24"/>
          <w:szCs w:val="24"/>
        </w:rPr>
        <w:t xml:space="preserve">: Respondents most commonly expected conference registration fees less than </w:t>
      </w:r>
      <w:r w:rsidR="00211E4A" w:rsidRPr="00565E45">
        <w:rPr>
          <w:rFonts w:ascii="Times New Roman" w:eastAsia="Times New Roman" w:hAnsi="Times New Roman" w:cs="Times New Roman"/>
          <w:color w:val="1B1C1D"/>
          <w:sz w:val="24"/>
          <w:szCs w:val="24"/>
        </w:rPr>
        <w:t>₦</w:t>
      </w:r>
      <w:r w:rsidR="00211E4A" w:rsidRPr="00565E45">
        <w:rPr>
          <w:rFonts w:ascii="Times New Roman" w:eastAsia="Times New Roman" w:hAnsi="Times New Roman" w:cs="Times New Roman"/>
          <w:color w:val="1B1C1D"/>
          <w:sz w:val="24"/>
          <w:szCs w:val="24"/>
        </w:rPr>
        <w:t>10,00</w:t>
      </w:r>
      <w:r w:rsidR="004934FB" w:rsidRPr="00565E45">
        <w:rPr>
          <w:rFonts w:ascii="Times New Roman" w:eastAsia="Times New Roman" w:hAnsi="Times New Roman" w:cs="Times New Roman"/>
          <w:color w:val="1B1C1D"/>
          <w:sz w:val="24"/>
          <w:szCs w:val="24"/>
        </w:rPr>
        <w:t>0</w:t>
      </w:r>
    </w:p>
    <w:p w:rsidR="004934FB" w:rsidRPr="00565E45" w:rsidRDefault="004934FB" w:rsidP="004934FB">
      <w:pPr>
        <w:pStyle w:val="ListParagraph"/>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drawing>
          <wp:inline distT="0" distB="0" distL="0" distR="0" wp14:anchorId="00EE2B1C" wp14:editId="392E7115">
            <wp:extent cx="5943600" cy="2449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9195"/>
                    </a:xfrm>
                    <a:prstGeom prst="rect">
                      <a:avLst/>
                    </a:prstGeom>
                  </pic:spPr>
                </pic:pic>
              </a:graphicData>
            </a:graphic>
          </wp:inline>
        </w:drawing>
      </w:r>
      <w:bookmarkStart w:id="0" w:name="_GoBack"/>
      <w:bookmarkEnd w:id="0"/>
    </w:p>
    <w:p w:rsidR="002D04B5" w:rsidRDefault="00110394" w:rsidP="002D04B5">
      <w:p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b/>
          <w:color w:val="1B1C1D"/>
          <w:sz w:val="24"/>
          <w:szCs w:val="24"/>
        </w:rPr>
        <w:lastRenderedPageBreak/>
        <w:t>Crosstab Analysis</w:t>
      </w:r>
      <w:r w:rsidRPr="00565E45">
        <w:rPr>
          <w:rFonts w:ascii="Times New Roman" w:eastAsia="Times New Roman" w:hAnsi="Times New Roman" w:cs="Times New Roman"/>
          <w:color w:val="1B1C1D"/>
          <w:sz w:val="24"/>
          <w:szCs w:val="24"/>
        </w:rPr>
        <w:t>:</w:t>
      </w:r>
    </w:p>
    <w:p w:rsidR="00110394" w:rsidRPr="00565E45" w:rsidRDefault="00110394" w:rsidP="00110394">
      <w:pPr>
        <w:pStyle w:val="ListParagraph"/>
        <w:numPr>
          <w:ilvl w:val="0"/>
          <w:numId w:val="11"/>
        </w:num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t>Attendance by Monthly Income</w:t>
      </w:r>
    </w:p>
    <w:p w:rsidR="00B44F49" w:rsidRDefault="00B44F49" w:rsidP="00B44F49">
      <w:pPr>
        <w:pStyle w:val="ListParagraph"/>
        <w:spacing w:before="100" w:beforeAutospacing="1" w:after="240" w:line="240" w:lineRule="auto"/>
        <w:rPr>
          <w:rFonts w:ascii="Times New Roman" w:eastAsia="Times New Roman" w:hAnsi="Times New Roman" w:cs="Times New Roman"/>
          <w:b/>
          <w:color w:val="1B1C1D"/>
          <w:sz w:val="24"/>
          <w:szCs w:val="24"/>
        </w:rPr>
      </w:pPr>
      <w:r w:rsidRPr="00565E45">
        <w:rPr>
          <w:rFonts w:ascii="Times New Roman" w:eastAsia="Times New Roman" w:hAnsi="Times New Roman" w:cs="Times New Roman"/>
          <w:b/>
          <w:color w:val="1B1C1D"/>
          <w:sz w:val="24"/>
          <w:szCs w:val="24"/>
        </w:rPr>
        <w:drawing>
          <wp:inline distT="0" distB="0" distL="0" distR="0" wp14:anchorId="097AAE79" wp14:editId="13192C05">
            <wp:extent cx="3886200" cy="234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045" cy="2348383"/>
                    </a:xfrm>
                    <a:prstGeom prst="rect">
                      <a:avLst/>
                    </a:prstGeom>
                  </pic:spPr>
                </pic:pic>
              </a:graphicData>
            </a:graphic>
          </wp:inline>
        </w:drawing>
      </w:r>
    </w:p>
    <w:p w:rsidR="002D04B5" w:rsidRDefault="002D04B5" w:rsidP="002D04B5">
      <w:pPr>
        <w:pStyle w:val="ListParagraph"/>
        <w:numPr>
          <w:ilvl w:val="0"/>
          <w:numId w:val="11"/>
        </w:numPr>
        <w:spacing w:before="100" w:beforeAutospacing="1" w:after="240" w:line="240"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Attendance rate by Monthly Income</w:t>
      </w:r>
    </w:p>
    <w:p w:rsidR="002D04B5" w:rsidRPr="00565E45" w:rsidRDefault="002D04B5" w:rsidP="00B44F49">
      <w:pPr>
        <w:pStyle w:val="ListParagraph"/>
        <w:spacing w:before="100" w:beforeAutospacing="1" w:after="240" w:line="240" w:lineRule="auto"/>
        <w:rPr>
          <w:rFonts w:ascii="Times New Roman" w:eastAsia="Times New Roman" w:hAnsi="Times New Roman" w:cs="Times New Roman"/>
          <w:b/>
          <w:color w:val="1B1C1D"/>
          <w:sz w:val="24"/>
          <w:szCs w:val="24"/>
        </w:rPr>
      </w:pPr>
      <w:r w:rsidRPr="002D04B5">
        <w:rPr>
          <w:rFonts w:ascii="Times New Roman" w:eastAsia="Times New Roman" w:hAnsi="Times New Roman" w:cs="Times New Roman"/>
          <w:color w:val="1B1C1D"/>
          <w:sz w:val="24"/>
          <w:szCs w:val="24"/>
        </w:rPr>
        <w:drawing>
          <wp:inline distT="0" distB="0" distL="0" distR="0" wp14:anchorId="66C019D7" wp14:editId="72AC2D9C">
            <wp:extent cx="5657850" cy="308007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2195" cy="3082440"/>
                    </a:xfrm>
                    <a:prstGeom prst="rect">
                      <a:avLst/>
                    </a:prstGeom>
                  </pic:spPr>
                </pic:pic>
              </a:graphicData>
            </a:graphic>
          </wp:inline>
        </w:drawing>
      </w:r>
    </w:p>
    <w:p w:rsidR="002D04B5" w:rsidRDefault="00110394" w:rsidP="002304FA">
      <w:p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t>There’s a trend showing higher attendance rates among students with higher monthly income.</w:t>
      </w:r>
    </w:p>
    <w:p w:rsidR="002D04B5" w:rsidRPr="00A266F0" w:rsidRDefault="00A266F0" w:rsidP="00A266F0">
      <w:pPr>
        <w:pStyle w:val="ListParagraph"/>
        <w:numPr>
          <w:ilvl w:val="0"/>
          <w:numId w:val="11"/>
        </w:numPr>
        <w:spacing w:before="100" w:beforeAutospacing="1" w:after="240" w:line="240" w:lineRule="auto"/>
        <w:rPr>
          <w:rFonts w:ascii="Times New Roman" w:eastAsia="Times New Roman" w:hAnsi="Times New Roman" w:cs="Times New Roman"/>
          <w:color w:val="1B1C1D"/>
          <w:sz w:val="24"/>
          <w:szCs w:val="24"/>
        </w:rPr>
      </w:pPr>
      <w:r w:rsidRPr="00A266F0">
        <w:rPr>
          <w:rFonts w:ascii="Times New Roman" w:eastAsia="Times New Roman" w:hAnsi="Times New Roman" w:cs="Times New Roman"/>
          <w:color w:val="1B1C1D"/>
          <w:sz w:val="24"/>
          <w:szCs w:val="24"/>
        </w:rPr>
        <w:t>Att</w:t>
      </w:r>
      <w:r>
        <w:rPr>
          <w:rFonts w:ascii="Times New Roman" w:eastAsia="Times New Roman" w:hAnsi="Times New Roman" w:cs="Times New Roman"/>
          <w:color w:val="1B1C1D"/>
          <w:sz w:val="24"/>
          <w:szCs w:val="24"/>
        </w:rPr>
        <w:t>endance by Expected registration fee and monthly income</w:t>
      </w:r>
    </w:p>
    <w:p w:rsidR="00110394" w:rsidRDefault="002D04B5" w:rsidP="002304FA">
      <w:pPr>
        <w:spacing w:before="100" w:beforeAutospacing="1" w:after="240" w:line="240" w:lineRule="auto"/>
        <w:rPr>
          <w:rFonts w:ascii="Times New Roman" w:eastAsia="Times New Roman" w:hAnsi="Times New Roman" w:cs="Times New Roman"/>
          <w:color w:val="1B1C1D"/>
          <w:sz w:val="24"/>
          <w:szCs w:val="24"/>
        </w:rPr>
      </w:pPr>
      <w:r w:rsidRPr="002D04B5">
        <w:rPr>
          <w:rFonts w:ascii="Times New Roman" w:eastAsia="Times New Roman" w:hAnsi="Times New Roman" w:cs="Times New Roman"/>
          <w:color w:val="1B1C1D"/>
          <w:sz w:val="24"/>
          <w:szCs w:val="24"/>
        </w:rPr>
        <w:lastRenderedPageBreak/>
        <w:drawing>
          <wp:inline distT="0" distB="0" distL="0" distR="0" wp14:anchorId="69ACCC26" wp14:editId="253CD422">
            <wp:extent cx="5676900" cy="314109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5798" cy="3146021"/>
                    </a:xfrm>
                    <a:prstGeom prst="rect">
                      <a:avLst/>
                    </a:prstGeom>
                  </pic:spPr>
                </pic:pic>
              </a:graphicData>
            </a:graphic>
          </wp:inline>
        </w:drawing>
      </w:r>
      <w:r w:rsidR="00110394" w:rsidRPr="00565E45">
        <w:rPr>
          <w:rFonts w:ascii="Times New Roman" w:eastAsia="Times New Roman" w:hAnsi="Times New Roman" w:cs="Times New Roman"/>
          <w:color w:val="1B1C1D"/>
          <w:sz w:val="24"/>
          <w:szCs w:val="24"/>
        </w:rPr>
        <w:t xml:space="preserve"> </w:t>
      </w:r>
    </w:p>
    <w:p w:rsidR="00A266F0" w:rsidRPr="00A266F0" w:rsidRDefault="00A266F0" w:rsidP="00A266F0">
      <w:pPr>
        <w:shd w:val="clear" w:color="auto" w:fill="FFFFFF"/>
        <w:spacing w:after="240" w:line="240" w:lineRule="auto"/>
        <w:rPr>
          <w:rFonts w:ascii="Segoe UI" w:eastAsia="Times New Roman" w:hAnsi="Segoe UI" w:cs="Segoe UI"/>
          <w:sz w:val="21"/>
          <w:szCs w:val="21"/>
        </w:rPr>
      </w:pPr>
      <w:r w:rsidRPr="00A266F0">
        <w:rPr>
          <w:rFonts w:ascii="Segoe UI" w:eastAsia="Times New Roman" w:hAnsi="Segoe UI" w:cs="Segoe UI"/>
          <w:sz w:val="21"/>
          <w:szCs w:val="21"/>
        </w:rPr>
        <w:t>Attendance rates are not uniform across either expected fees or income levels, </w:t>
      </w:r>
      <w:r w:rsidRPr="00A266F0">
        <w:rPr>
          <w:rFonts w:ascii="Segoe UI" w:eastAsia="Times New Roman" w:hAnsi="Segoe UI" w:cs="Segoe UI"/>
          <w:b/>
          <w:bCs/>
          <w:sz w:val="21"/>
          <w:szCs w:val="21"/>
        </w:rPr>
        <w:t>indicating a complex relationship</w:t>
      </w:r>
      <w:r w:rsidRPr="00A266F0">
        <w:rPr>
          <w:rFonts w:ascii="Segoe UI" w:eastAsia="Times New Roman" w:hAnsi="Segoe UI" w:cs="Segoe UI"/>
          <w:sz w:val="21"/>
          <w:szCs w:val="21"/>
        </w:rPr>
        <w:t xml:space="preserve">. </w:t>
      </w:r>
      <w:proofErr w:type="gramStart"/>
      <w:r w:rsidRPr="00A266F0">
        <w:rPr>
          <w:rFonts w:ascii="Segoe UI" w:eastAsia="Times New Roman" w:hAnsi="Segoe UI" w:cs="Segoe UI"/>
          <w:sz w:val="21"/>
          <w:szCs w:val="21"/>
        </w:rPr>
        <w:t>the</w:t>
      </w:r>
      <w:proofErr w:type="gramEnd"/>
      <w:r w:rsidRPr="00A266F0">
        <w:rPr>
          <w:rFonts w:ascii="Segoe UI" w:eastAsia="Times New Roman" w:hAnsi="Segoe UI" w:cs="Segoe UI"/>
          <w:sz w:val="21"/>
          <w:szCs w:val="21"/>
        </w:rPr>
        <w:t xml:space="preserve"> chart strongly indicates that </w:t>
      </w:r>
      <w:r w:rsidRPr="00A266F0">
        <w:rPr>
          <w:rFonts w:ascii="Segoe UI" w:eastAsia="Times New Roman" w:hAnsi="Segoe UI" w:cs="Segoe UI"/>
          <w:b/>
          <w:bCs/>
          <w:sz w:val="21"/>
          <w:szCs w:val="21"/>
        </w:rPr>
        <w:t>an individual's monthly income level plays a significant role in their conference attendance, particularly in conjunction with their expectations about registration fees.</w:t>
      </w:r>
      <w:r w:rsidRPr="00A266F0">
        <w:rPr>
          <w:rFonts w:ascii="Segoe UI" w:eastAsia="Times New Roman" w:hAnsi="Segoe UI" w:cs="Segoe UI"/>
          <w:sz w:val="21"/>
          <w:szCs w:val="21"/>
        </w:rPr>
        <w:t> Higher income levels appear to mitigate the deterrent effect of higher or uncertain fees.</w:t>
      </w:r>
    </w:p>
    <w:p w:rsidR="00A266F0" w:rsidRDefault="00A266F0" w:rsidP="00A266F0">
      <w:pPr>
        <w:pStyle w:val="ListParagraph"/>
        <w:numPr>
          <w:ilvl w:val="0"/>
          <w:numId w:val="11"/>
        </w:numPr>
        <w:spacing w:before="100" w:beforeAutospacing="1" w:after="240" w:line="240" w:lineRule="auto"/>
        <w:rPr>
          <w:rFonts w:ascii="Times New Roman" w:eastAsia="Times New Roman" w:hAnsi="Times New Roman" w:cs="Times New Roman"/>
          <w:color w:val="1B1C1D"/>
          <w:sz w:val="24"/>
          <w:szCs w:val="24"/>
        </w:rPr>
      </w:pPr>
      <w:r w:rsidRPr="00A266F0">
        <w:rPr>
          <w:rFonts w:ascii="Times New Roman" w:eastAsia="Times New Roman" w:hAnsi="Times New Roman" w:cs="Times New Roman"/>
          <w:color w:val="1B1C1D"/>
          <w:sz w:val="24"/>
          <w:szCs w:val="24"/>
        </w:rPr>
        <w:t>Attendance by Geopolitical zone</w:t>
      </w:r>
    </w:p>
    <w:p w:rsidR="00A266F0" w:rsidRDefault="00A266F0" w:rsidP="00A266F0">
      <w:pPr>
        <w:pStyle w:val="ListParagraph"/>
        <w:spacing w:before="100" w:beforeAutospacing="1" w:after="240" w:line="240" w:lineRule="auto"/>
        <w:rPr>
          <w:rFonts w:ascii="Times New Roman" w:eastAsia="Times New Roman" w:hAnsi="Times New Roman" w:cs="Times New Roman"/>
          <w:color w:val="1B1C1D"/>
          <w:sz w:val="24"/>
          <w:szCs w:val="24"/>
        </w:rPr>
      </w:pPr>
      <w:r w:rsidRPr="00A266F0">
        <w:rPr>
          <w:rFonts w:ascii="Times New Roman" w:eastAsia="Times New Roman" w:hAnsi="Times New Roman" w:cs="Times New Roman"/>
          <w:color w:val="1B1C1D"/>
          <w:sz w:val="24"/>
          <w:szCs w:val="24"/>
        </w:rPr>
        <w:drawing>
          <wp:inline distT="0" distB="0" distL="0" distR="0" wp14:anchorId="4DBD39CF" wp14:editId="01119B9D">
            <wp:extent cx="4086225" cy="2750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0926" cy="2760365"/>
                    </a:xfrm>
                    <a:prstGeom prst="rect">
                      <a:avLst/>
                    </a:prstGeom>
                  </pic:spPr>
                </pic:pic>
              </a:graphicData>
            </a:graphic>
          </wp:inline>
        </w:drawing>
      </w:r>
    </w:p>
    <w:p w:rsidR="00A266F0" w:rsidRPr="00A266F0" w:rsidRDefault="00A266F0" w:rsidP="00A266F0">
      <w:pPr>
        <w:shd w:val="clear" w:color="auto" w:fill="FFFFFF"/>
        <w:spacing w:before="100" w:beforeAutospacing="1" w:after="100" w:afterAutospacing="1" w:line="240" w:lineRule="auto"/>
        <w:rPr>
          <w:rFonts w:ascii="Segoe UI" w:eastAsia="Times New Roman" w:hAnsi="Segoe UI" w:cs="Segoe UI"/>
          <w:sz w:val="21"/>
          <w:szCs w:val="21"/>
        </w:rPr>
      </w:pPr>
      <w:r w:rsidRPr="00A266F0">
        <w:rPr>
          <w:rFonts w:ascii="Segoe UI" w:eastAsia="Times New Roman" w:hAnsi="Segoe UI" w:cs="Segoe UI"/>
          <w:sz w:val="21"/>
          <w:szCs w:val="21"/>
        </w:rPr>
        <w:t>Students attended conferences more in the Southern region of the country (The south west being the highest) and less in the North with the North East. This variation could be due to several factors like population, security, etc.</w:t>
      </w:r>
    </w:p>
    <w:p w:rsidR="00A266F0" w:rsidRDefault="00A266F0" w:rsidP="00A266F0">
      <w:pPr>
        <w:pStyle w:val="ListParagraph"/>
        <w:spacing w:before="100" w:beforeAutospacing="1" w:after="240" w:line="240" w:lineRule="auto"/>
        <w:rPr>
          <w:rFonts w:ascii="Times New Roman" w:eastAsia="Times New Roman" w:hAnsi="Times New Roman" w:cs="Times New Roman"/>
          <w:color w:val="1B1C1D"/>
          <w:sz w:val="24"/>
          <w:szCs w:val="24"/>
        </w:rPr>
      </w:pPr>
    </w:p>
    <w:p w:rsidR="00A266F0" w:rsidRDefault="00A266F0" w:rsidP="00A266F0">
      <w:pPr>
        <w:pStyle w:val="ListParagraph"/>
        <w:spacing w:before="100" w:beforeAutospacing="1" w:after="240" w:line="240" w:lineRule="auto"/>
        <w:rPr>
          <w:rFonts w:ascii="Times New Roman" w:eastAsia="Times New Roman" w:hAnsi="Times New Roman" w:cs="Times New Roman"/>
          <w:color w:val="1B1C1D"/>
          <w:sz w:val="24"/>
          <w:szCs w:val="24"/>
        </w:rPr>
      </w:pPr>
      <w:r w:rsidRPr="00A266F0">
        <w:rPr>
          <w:rFonts w:ascii="Times New Roman" w:eastAsia="Times New Roman" w:hAnsi="Times New Roman" w:cs="Times New Roman"/>
          <w:color w:val="1B1C1D"/>
          <w:sz w:val="24"/>
          <w:szCs w:val="24"/>
        </w:rPr>
        <w:drawing>
          <wp:inline distT="0" distB="0" distL="0" distR="0" wp14:anchorId="59A7257D" wp14:editId="53B1CA09">
            <wp:extent cx="4867954" cy="262926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2629267"/>
                    </a:xfrm>
                    <a:prstGeom prst="rect">
                      <a:avLst/>
                    </a:prstGeom>
                  </pic:spPr>
                </pic:pic>
              </a:graphicData>
            </a:graphic>
          </wp:inline>
        </w:drawing>
      </w:r>
    </w:p>
    <w:p w:rsidR="00A266F0" w:rsidRPr="00A266F0" w:rsidRDefault="00A266F0" w:rsidP="00A266F0">
      <w:pPr>
        <w:shd w:val="clear" w:color="auto" w:fill="FFFFFF"/>
        <w:spacing w:after="240" w:line="240" w:lineRule="auto"/>
        <w:rPr>
          <w:rFonts w:ascii="Segoe UI" w:eastAsia="Times New Roman" w:hAnsi="Segoe UI" w:cs="Segoe UI"/>
          <w:sz w:val="21"/>
          <w:szCs w:val="21"/>
        </w:rPr>
      </w:pPr>
      <w:r w:rsidRPr="00A266F0">
        <w:rPr>
          <w:rFonts w:ascii="Segoe UI" w:eastAsia="Times New Roman" w:hAnsi="Segoe UI" w:cs="Segoe UI"/>
          <w:sz w:val="21"/>
          <w:szCs w:val="21"/>
        </w:rPr>
        <w:t xml:space="preserve">On examining the association between geopolitical zone and whether students attended conferences </w:t>
      </w:r>
      <w:proofErr w:type="gramStart"/>
      <w:r w:rsidRPr="00A266F0">
        <w:rPr>
          <w:rFonts w:ascii="Segoe UI" w:eastAsia="Times New Roman" w:hAnsi="Segoe UI" w:cs="Segoe UI"/>
          <w:sz w:val="21"/>
          <w:szCs w:val="21"/>
        </w:rPr>
        <w:t>in</w:t>
      </w:r>
      <w:proofErr w:type="gramEnd"/>
      <w:r w:rsidRPr="00A266F0">
        <w:rPr>
          <w:rFonts w:ascii="Segoe UI" w:eastAsia="Times New Roman" w:hAnsi="Segoe UI" w:cs="Segoe UI"/>
          <w:sz w:val="21"/>
          <w:szCs w:val="21"/>
        </w:rPr>
        <w:t xml:space="preserve"> their own zone versus other zones, a chi-square test was performed and the results indicated a statistically significant association, χ2(5)=48.92, p=0.009, showing </w:t>
      </w:r>
      <w:r w:rsidRPr="00A266F0">
        <w:rPr>
          <w:rFonts w:ascii="Segoe UI" w:eastAsia="Times New Roman" w:hAnsi="Segoe UI" w:cs="Segoe UI"/>
          <w:b/>
          <w:bCs/>
          <w:sz w:val="21"/>
          <w:szCs w:val="21"/>
        </w:rPr>
        <w:t>attendance to conferences is significantly related to a student's preference for attending conferences within their own zone or in other zones. This could be due to accom</w:t>
      </w:r>
      <w:r w:rsidR="00FF33E8">
        <w:rPr>
          <w:rFonts w:ascii="Segoe UI" w:eastAsia="Times New Roman" w:hAnsi="Segoe UI" w:cs="Segoe UI"/>
          <w:b/>
          <w:bCs/>
          <w:sz w:val="21"/>
          <w:szCs w:val="21"/>
        </w:rPr>
        <w:t>m</w:t>
      </w:r>
      <w:r w:rsidRPr="00A266F0">
        <w:rPr>
          <w:rFonts w:ascii="Segoe UI" w:eastAsia="Times New Roman" w:hAnsi="Segoe UI" w:cs="Segoe UI"/>
          <w:b/>
          <w:bCs/>
          <w:sz w:val="21"/>
          <w:szCs w:val="21"/>
        </w:rPr>
        <w:t>odation and travel considerations.</w:t>
      </w:r>
    </w:p>
    <w:p w:rsidR="00A266F0" w:rsidRPr="00A266F0" w:rsidRDefault="00A266F0" w:rsidP="00A266F0">
      <w:pPr>
        <w:pStyle w:val="ListParagraph"/>
        <w:spacing w:before="100" w:beforeAutospacing="1" w:after="240" w:line="240" w:lineRule="auto"/>
        <w:rPr>
          <w:rFonts w:ascii="Times New Roman" w:eastAsia="Times New Roman" w:hAnsi="Times New Roman" w:cs="Times New Roman"/>
          <w:color w:val="1B1C1D"/>
          <w:sz w:val="24"/>
          <w:szCs w:val="24"/>
        </w:rPr>
      </w:pPr>
    </w:p>
    <w:p w:rsidR="00565E45" w:rsidRPr="002D04B5" w:rsidRDefault="00565E45" w:rsidP="002304FA">
      <w:pPr>
        <w:spacing w:before="100" w:beforeAutospacing="1" w:after="240" w:line="240" w:lineRule="auto"/>
        <w:rPr>
          <w:rFonts w:ascii="Times New Roman" w:eastAsia="Times New Roman" w:hAnsi="Times New Roman" w:cs="Times New Roman"/>
          <w:b/>
          <w:color w:val="1B1C1D"/>
          <w:sz w:val="24"/>
          <w:szCs w:val="24"/>
        </w:rPr>
      </w:pPr>
      <w:r w:rsidRPr="002D04B5">
        <w:rPr>
          <w:rFonts w:ascii="Times New Roman" w:eastAsia="Times New Roman" w:hAnsi="Times New Roman" w:cs="Times New Roman"/>
          <w:b/>
          <w:color w:val="1B1C1D"/>
          <w:sz w:val="24"/>
          <w:szCs w:val="24"/>
        </w:rPr>
        <w:t>Financial Constraints Analysis:</w:t>
      </w:r>
    </w:p>
    <w:p w:rsidR="002D04B5" w:rsidRPr="002D04B5" w:rsidRDefault="002D04B5" w:rsidP="002D04B5">
      <w:pPr>
        <w:shd w:val="clear" w:color="auto" w:fill="FFFFFF"/>
        <w:spacing w:after="240" w:line="240" w:lineRule="auto"/>
        <w:rPr>
          <w:rFonts w:ascii="Times New Roman" w:eastAsia="Times New Roman" w:hAnsi="Times New Roman" w:cs="Times New Roman"/>
          <w:sz w:val="24"/>
          <w:szCs w:val="24"/>
        </w:rPr>
      </w:pPr>
      <w:r w:rsidRPr="002D04B5">
        <w:rPr>
          <w:rFonts w:ascii="Times New Roman" w:eastAsia="Times New Roman" w:hAnsi="Times New Roman" w:cs="Times New Roman"/>
          <w:sz w:val="24"/>
          <w:szCs w:val="24"/>
        </w:rPr>
        <w:t>The top four most frequently cited factors are all directly related to the financial burden of attending conferences, accounting for the vast majority of concerns.</w:t>
      </w:r>
    </w:p>
    <w:p w:rsidR="002D04B5" w:rsidRPr="002D04B5" w:rsidRDefault="002D04B5" w:rsidP="002D04B5">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D04B5">
        <w:rPr>
          <w:rFonts w:ascii="Times New Roman" w:eastAsia="Times New Roman" w:hAnsi="Times New Roman" w:cs="Times New Roman"/>
          <w:b/>
          <w:bCs/>
          <w:sz w:val="24"/>
          <w:szCs w:val="24"/>
        </w:rPr>
        <w:t>"Transportation expenses (transportation and accommodation)"</w:t>
      </w:r>
      <w:r w:rsidRPr="002D04B5">
        <w:rPr>
          <w:rFonts w:ascii="Times New Roman" w:eastAsia="Times New Roman" w:hAnsi="Times New Roman" w:cs="Times New Roman"/>
          <w:sz w:val="24"/>
          <w:szCs w:val="24"/>
        </w:rPr>
        <w:t> and </w:t>
      </w:r>
      <w:r w:rsidRPr="002D04B5">
        <w:rPr>
          <w:rFonts w:ascii="Times New Roman" w:eastAsia="Times New Roman" w:hAnsi="Times New Roman" w:cs="Times New Roman"/>
          <w:b/>
          <w:bCs/>
          <w:sz w:val="24"/>
          <w:szCs w:val="24"/>
        </w:rPr>
        <w:t>"High registration fees"</w:t>
      </w:r>
      <w:r w:rsidRPr="002D04B5">
        <w:rPr>
          <w:rFonts w:ascii="Times New Roman" w:eastAsia="Times New Roman" w:hAnsi="Times New Roman" w:cs="Times New Roman"/>
          <w:sz w:val="24"/>
          <w:szCs w:val="24"/>
        </w:rPr>
        <w:t> are the most significant barriers, both cited by 221 and 218 respondents respectively. This highlights that the cost of getting to and staying at a conference is as much of a deterrent as the cost of the event itself.</w:t>
      </w:r>
    </w:p>
    <w:p w:rsidR="002D04B5" w:rsidRPr="002D04B5" w:rsidRDefault="002D04B5" w:rsidP="002D04B5">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D04B5">
        <w:rPr>
          <w:rFonts w:ascii="Times New Roman" w:eastAsia="Times New Roman" w:hAnsi="Times New Roman" w:cs="Times New Roman"/>
          <w:b/>
          <w:bCs/>
          <w:sz w:val="24"/>
          <w:szCs w:val="24"/>
        </w:rPr>
        <w:t>"Lack of funding/support from institution or external sources"</w:t>
      </w:r>
      <w:r w:rsidRPr="002D04B5">
        <w:rPr>
          <w:rFonts w:ascii="Times New Roman" w:eastAsia="Times New Roman" w:hAnsi="Times New Roman" w:cs="Times New Roman"/>
          <w:sz w:val="24"/>
          <w:szCs w:val="24"/>
        </w:rPr>
        <w:t> ranks highly with 170 mentions. This indicates that even when students are keen to attend, the absence of financial aid or institutional backing poses a substantial obstacle.</w:t>
      </w:r>
    </w:p>
    <w:p w:rsidR="002D04B5" w:rsidRPr="002D04B5" w:rsidRDefault="002D04B5" w:rsidP="002D04B5">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D04B5">
        <w:rPr>
          <w:rFonts w:ascii="Times New Roman" w:eastAsia="Times New Roman" w:hAnsi="Times New Roman" w:cs="Times New Roman"/>
          <w:b/>
          <w:bCs/>
          <w:sz w:val="24"/>
          <w:szCs w:val="24"/>
        </w:rPr>
        <w:t>"Others"</w:t>
      </w:r>
      <w:r w:rsidRPr="002D04B5">
        <w:rPr>
          <w:rFonts w:ascii="Times New Roman" w:eastAsia="Times New Roman" w:hAnsi="Times New Roman" w:cs="Times New Roman"/>
          <w:sz w:val="24"/>
          <w:szCs w:val="24"/>
        </w:rPr>
        <w:t> received only 11 mentions, suggesting that the listed categories cover most common issues.</w:t>
      </w:r>
    </w:p>
    <w:p w:rsidR="002D04B5" w:rsidRDefault="002D04B5" w:rsidP="002D04B5">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D04B5">
        <w:rPr>
          <w:rFonts w:ascii="Times New Roman" w:eastAsia="Times New Roman" w:hAnsi="Times New Roman" w:cs="Times New Roman"/>
          <w:b/>
          <w:bCs/>
          <w:sz w:val="24"/>
          <w:szCs w:val="24"/>
        </w:rPr>
        <w:t>"I'm scared of travelling"</w:t>
      </w:r>
      <w:r w:rsidRPr="002D04B5">
        <w:rPr>
          <w:rFonts w:ascii="Times New Roman" w:eastAsia="Times New Roman" w:hAnsi="Times New Roman" w:cs="Times New Roman"/>
          <w:sz w:val="24"/>
          <w:szCs w:val="24"/>
        </w:rPr>
        <w:t> was an almost negligible factor, cited by only 1 respondent. This indicates that psychological or personal travel fears are not a widespread barrier for the student population surveyed.</w:t>
      </w:r>
    </w:p>
    <w:p w:rsidR="00FF33E8" w:rsidRPr="002D04B5" w:rsidRDefault="00FF33E8" w:rsidP="00FF33E8">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low income students were more likely to cite these financial challenges as factors hindering their attendance to conferences.</w:t>
      </w:r>
    </w:p>
    <w:p w:rsidR="002D04B5" w:rsidRDefault="002D04B5" w:rsidP="002304FA">
      <w:pPr>
        <w:spacing w:before="100" w:beforeAutospacing="1" w:after="240" w:line="240" w:lineRule="auto"/>
        <w:rPr>
          <w:rFonts w:ascii="Times New Roman" w:eastAsia="Times New Roman" w:hAnsi="Times New Roman" w:cs="Times New Roman"/>
          <w:b/>
          <w:color w:val="1B1C1D"/>
          <w:sz w:val="24"/>
          <w:szCs w:val="24"/>
        </w:rPr>
      </w:pPr>
    </w:p>
    <w:p w:rsidR="002D04B5" w:rsidRDefault="002D04B5" w:rsidP="002304FA">
      <w:pPr>
        <w:spacing w:before="100" w:beforeAutospacing="1" w:after="240" w:line="240" w:lineRule="auto"/>
        <w:rPr>
          <w:rFonts w:ascii="Segoe UI" w:eastAsia="Times New Roman" w:hAnsi="Segoe UI" w:cs="Segoe UI"/>
          <w:sz w:val="21"/>
          <w:szCs w:val="21"/>
        </w:rPr>
      </w:pPr>
      <w:r w:rsidRPr="002D04B5">
        <w:rPr>
          <w:rFonts w:ascii="Segoe UI" w:eastAsia="Times New Roman" w:hAnsi="Segoe UI" w:cs="Segoe UI"/>
          <w:sz w:val="21"/>
          <w:szCs w:val="21"/>
        </w:rPr>
        <w:lastRenderedPageBreak/>
        <w:drawing>
          <wp:inline distT="0" distB="0" distL="0" distR="0" wp14:anchorId="7BCCE4B6" wp14:editId="01A5E553">
            <wp:extent cx="5943600" cy="2399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99030"/>
                    </a:xfrm>
                    <a:prstGeom prst="rect">
                      <a:avLst/>
                    </a:prstGeom>
                  </pic:spPr>
                </pic:pic>
              </a:graphicData>
            </a:graphic>
          </wp:inline>
        </w:drawing>
      </w:r>
    </w:p>
    <w:p w:rsidR="00110394" w:rsidRPr="00565E45" w:rsidRDefault="00110394" w:rsidP="002304FA">
      <w:pPr>
        <w:spacing w:before="100" w:beforeAutospacing="1" w:after="240" w:line="240" w:lineRule="auto"/>
        <w:rPr>
          <w:rFonts w:ascii="Times New Roman" w:eastAsia="Times New Roman" w:hAnsi="Times New Roman" w:cs="Times New Roman"/>
          <w:b/>
          <w:color w:val="1B1C1D"/>
          <w:sz w:val="24"/>
          <w:szCs w:val="24"/>
        </w:rPr>
      </w:pPr>
      <w:r w:rsidRPr="00565E45">
        <w:rPr>
          <w:rFonts w:ascii="Times New Roman" w:eastAsia="Times New Roman" w:hAnsi="Times New Roman" w:cs="Times New Roman"/>
          <w:b/>
          <w:color w:val="1B1C1D"/>
          <w:sz w:val="24"/>
          <w:szCs w:val="24"/>
        </w:rPr>
        <w:t>Logistic Regression Analysis:</w:t>
      </w:r>
    </w:p>
    <w:p w:rsidR="006603A5" w:rsidRPr="00565E45" w:rsidRDefault="00110394" w:rsidP="002304FA">
      <w:p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t>A binary logistic regression was performed to asses</w:t>
      </w:r>
      <w:r w:rsidR="006603A5" w:rsidRPr="00565E45">
        <w:rPr>
          <w:rFonts w:ascii="Times New Roman" w:eastAsia="Times New Roman" w:hAnsi="Times New Roman" w:cs="Times New Roman"/>
          <w:color w:val="1B1C1D"/>
          <w:sz w:val="24"/>
          <w:szCs w:val="24"/>
        </w:rPr>
        <w:t>s the combined effect of e</w:t>
      </w:r>
      <w:r w:rsidRPr="00565E45">
        <w:rPr>
          <w:rFonts w:ascii="Times New Roman" w:eastAsia="Times New Roman" w:hAnsi="Times New Roman" w:cs="Times New Roman"/>
          <w:color w:val="1B1C1D"/>
          <w:sz w:val="24"/>
          <w:szCs w:val="24"/>
        </w:rPr>
        <w:t>xpected registration fees for conferences and students’ monthly income on conference attendance.</w:t>
      </w:r>
    </w:p>
    <w:p w:rsidR="0073099B" w:rsidRPr="00565E45" w:rsidRDefault="006603A5" w:rsidP="002304FA">
      <w:pPr>
        <w:spacing w:before="100" w:beforeAutospacing="1" w:after="240" w:line="240" w:lineRule="auto"/>
        <w:rPr>
          <w:rFonts w:ascii="Times New Roman" w:hAnsi="Times New Roman" w:cs="Times New Roman"/>
          <w:sz w:val="24"/>
          <w:szCs w:val="24"/>
        </w:rPr>
      </w:pPr>
      <w:r w:rsidRPr="00565E45">
        <w:rPr>
          <w:rStyle w:val="Strong"/>
          <w:rFonts w:ascii="Times New Roman" w:hAnsi="Times New Roman" w:cs="Times New Roman"/>
          <w:sz w:val="24"/>
          <w:szCs w:val="24"/>
        </w:rPr>
        <w:t>Intercept (Log-Odds)</w:t>
      </w:r>
      <w:r w:rsidRPr="00565E45">
        <w:rPr>
          <w:rFonts w:ascii="Times New Roman" w:hAnsi="Times New Roman" w:cs="Times New Roman"/>
          <w:sz w:val="24"/>
          <w:szCs w:val="24"/>
        </w:rPr>
        <w:t>: -0.064</w:t>
      </w:r>
    </w:p>
    <w:p w:rsidR="0073099B" w:rsidRPr="00565E45" w:rsidRDefault="00B44F49" w:rsidP="002304FA">
      <w:pPr>
        <w:spacing w:before="100" w:beforeAutospacing="1" w:after="240" w:line="240" w:lineRule="auto"/>
        <w:rPr>
          <w:rFonts w:ascii="Times New Roman" w:hAnsi="Times New Roman" w:cs="Times New Roman"/>
          <w:sz w:val="24"/>
          <w:szCs w:val="24"/>
        </w:rPr>
      </w:pPr>
      <w:r w:rsidRPr="00565E45">
        <w:rPr>
          <w:rFonts w:ascii="Times New Roman" w:hAnsi="Times New Roman" w:cs="Times New Roman"/>
          <w:sz w:val="24"/>
          <w:szCs w:val="24"/>
        </w:rPr>
        <w:drawing>
          <wp:inline distT="0" distB="0" distL="0" distR="0" wp14:anchorId="2127A7E8" wp14:editId="4CF33C22">
            <wp:extent cx="5943600" cy="2193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3290"/>
                    </a:xfrm>
                    <a:prstGeom prst="rect">
                      <a:avLst/>
                    </a:prstGeom>
                  </pic:spPr>
                </pic:pic>
              </a:graphicData>
            </a:graphic>
          </wp:inline>
        </w:drawing>
      </w:r>
    </w:p>
    <w:p w:rsidR="006603A5" w:rsidRPr="00565E45" w:rsidRDefault="006603A5" w:rsidP="002304FA">
      <w:pPr>
        <w:spacing w:before="100" w:beforeAutospacing="1" w:after="240" w:line="240" w:lineRule="auto"/>
        <w:rPr>
          <w:rStyle w:val="Strong"/>
          <w:rFonts w:ascii="Times New Roman" w:hAnsi="Times New Roman" w:cs="Times New Roman"/>
          <w:b w:val="0"/>
          <w:sz w:val="24"/>
          <w:szCs w:val="24"/>
        </w:rPr>
      </w:pPr>
      <w:r w:rsidRPr="00565E45">
        <w:rPr>
          <w:rFonts w:ascii="Times New Roman" w:hAnsi="Times New Roman" w:cs="Times New Roman"/>
          <w:sz w:val="24"/>
          <w:szCs w:val="24"/>
        </w:rPr>
        <w:br/>
      </w:r>
      <w:r w:rsidR="0073099B" w:rsidRPr="00565E45">
        <w:rPr>
          <w:rStyle w:val="Strong"/>
          <w:rFonts w:ascii="Times New Roman" w:hAnsi="Times New Roman" w:cs="Times New Roman"/>
          <w:b w:val="0"/>
          <w:sz w:val="24"/>
          <w:szCs w:val="24"/>
        </w:rPr>
        <w:t>The logistic regression model was t</w:t>
      </w:r>
      <w:r w:rsidR="00B44F49" w:rsidRPr="00565E45">
        <w:rPr>
          <w:rStyle w:val="Strong"/>
          <w:rFonts w:ascii="Times New Roman" w:hAnsi="Times New Roman" w:cs="Times New Roman"/>
          <w:b w:val="0"/>
          <w:sz w:val="24"/>
          <w:szCs w:val="24"/>
        </w:rPr>
        <w:t>rained on 80%</w:t>
      </w:r>
      <w:r w:rsidR="0073099B" w:rsidRPr="00565E45">
        <w:rPr>
          <w:rStyle w:val="Strong"/>
          <w:rFonts w:ascii="Times New Roman" w:hAnsi="Times New Roman" w:cs="Times New Roman"/>
          <w:b w:val="0"/>
          <w:sz w:val="24"/>
          <w:szCs w:val="24"/>
        </w:rPr>
        <w:t xml:space="preserve"> of the data, and tested on 20%. It achieved an accuracy of 55% on the test dataset, meaning it correctly predicted conference attendance outcomes 55% of the time on unseen data. While this indicates some predictive power, it highlights the possible effect of other factors other than registration fees and monthly income on conference attendance.</w:t>
      </w:r>
    </w:p>
    <w:p w:rsidR="00B44F49" w:rsidRPr="00565E45" w:rsidRDefault="00565E45" w:rsidP="002304FA">
      <w:pPr>
        <w:spacing w:before="100" w:beforeAutospacing="1" w:after="240" w:line="240" w:lineRule="auto"/>
        <w:rPr>
          <w:rStyle w:val="Strong"/>
          <w:rFonts w:ascii="Times New Roman" w:hAnsi="Times New Roman" w:cs="Times New Roman"/>
          <w:sz w:val="24"/>
          <w:szCs w:val="24"/>
        </w:rPr>
      </w:pPr>
      <w:proofErr w:type="spellStart"/>
      <w:r w:rsidRPr="00565E45">
        <w:rPr>
          <w:rStyle w:val="Strong"/>
          <w:rFonts w:ascii="Times New Roman" w:hAnsi="Times New Roman" w:cs="Times New Roman"/>
          <w:sz w:val="24"/>
          <w:szCs w:val="24"/>
        </w:rPr>
        <w:t>WordCloud</w:t>
      </w:r>
      <w:proofErr w:type="spellEnd"/>
      <w:r w:rsidRPr="00565E45">
        <w:rPr>
          <w:rStyle w:val="Strong"/>
          <w:rFonts w:ascii="Times New Roman" w:hAnsi="Times New Roman" w:cs="Times New Roman"/>
          <w:sz w:val="24"/>
          <w:szCs w:val="24"/>
        </w:rPr>
        <w:t xml:space="preserve"> Analysis:</w:t>
      </w:r>
    </w:p>
    <w:p w:rsidR="00565E45" w:rsidRPr="00565E45" w:rsidRDefault="00565E45" w:rsidP="002304FA">
      <w:pPr>
        <w:spacing w:before="100" w:beforeAutospacing="1" w:after="240" w:line="240" w:lineRule="auto"/>
        <w:rPr>
          <w:rStyle w:val="Strong"/>
          <w:rFonts w:ascii="Times New Roman" w:hAnsi="Times New Roman" w:cs="Times New Roman"/>
          <w:b w:val="0"/>
          <w:sz w:val="24"/>
          <w:szCs w:val="24"/>
        </w:rPr>
      </w:pPr>
      <w:r w:rsidRPr="00565E45">
        <w:rPr>
          <w:rStyle w:val="Strong"/>
          <w:rFonts w:ascii="Times New Roman" w:hAnsi="Times New Roman" w:cs="Times New Roman"/>
          <w:b w:val="0"/>
          <w:sz w:val="24"/>
          <w:szCs w:val="24"/>
        </w:rPr>
        <w:t xml:space="preserve">Respondents’ considerations before attending conferences was analyzed and the word cloud provides compelling evidence that for students, financial implications (registration fees, travel </w:t>
      </w:r>
      <w:r w:rsidRPr="00565E45">
        <w:rPr>
          <w:rStyle w:val="Strong"/>
          <w:rFonts w:ascii="Times New Roman" w:hAnsi="Times New Roman" w:cs="Times New Roman"/>
          <w:b w:val="0"/>
          <w:sz w:val="24"/>
          <w:szCs w:val="24"/>
        </w:rPr>
        <w:lastRenderedPageBreak/>
        <w:t>costs, and overall financial considerations) are the most significant factors influencing their decision to attend conferences. Closely following, and serving as key motivators, are the prospects of professional development and networking opportunities. The relevance of the conference content is also considered, but to a lesser extent than the financial and career-related benefits. This analysis suggests that strategies to increase student attendance should heavily focus on reducing financial burdens and clearly articulating the professional and networking value of the conference.</w:t>
      </w:r>
    </w:p>
    <w:p w:rsidR="00B44F49" w:rsidRPr="002304FA" w:rsidRDefault="00B44F49" w:rsidP="002304FA">
      <w:pPr>
        <w:spacing w:before="100" w:beforeAutospacing="1" w:after="24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drawing>
          <wp:inline distT="0" distB="0" distL="0" distR="0" wp14:anchorId="2A361E6E" wp14:editId="1E93C059">
            <wp:extent cx="5591955" cy="30103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955" cy="3010320"/>
                    </a:xfrm>
                    <a:prstGeom prst="rect">
                      <a:avLst/>
                    </a:prstGeom>
                  </pic:spPr>
                </pic:pic>
              </a:graphicData>
            </a:graphic>
          </wp:inline>
        </w:drawing>
      </w:r>
    </w:p>
    <w:p w:rsidR="002304FA" w:rsidRPr="002304FA" w:rsidRDefault="002304FA" w:rsidP="002304FA">
      <w:pPr>
        <w:spacing w:before="100" w:beforeAutospacing="1" w:after="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Key Findings:</w:t>
      </w:r>
    </w:p>
    <w:p w:rsidR="002304FA" w:rsidRPr="002304FA" w:rsidRDefault="002304FA" w:rsidP="002304FA">
      <w:pPr>
        <w:numPr>
          <w:ilvl w:val="0"/>
          <w:numId w:val="8"/>
        </w:numPr>
        <w:spacing w:before="100" w:beforeAutospacing="1" w:after="0" w:line="240" w:lineRule="auto"/>
        <w:ind w:left="0"/>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Financial Factors as the Primary Determinant:</w:t>
      </w:r>
      <w:r w:rsidRPr="002304FA">
        <w:rPr>
          <w:rFonts w:ascii="Times New Roman" w:eastAsia="Times New Roman" w:hAnsi="Times New Roman" w:cs="Times New Roman"/>
          <w:color w:val="1B1C1D"/>
          <w:sz w:val="24"/>
          <w:szCs w:val="24"/>
        </w:rPr>
        <w:t xml:space="preserve"> Financial considerations emerged as the most overwhelming influence on conference attendance.</w:t>
      </w:r>
    </w:p>
    <w:p w:rsidR="002304FA" w:rsidRPr="00565E45" w:rsidRDefault="002304FA" w:rsidP="002028ED">
      <w:pPr>
        <w:pStyle w:val="ListParagraph"/>
        <w:numPr>
          <w:ilvl w:val="0"/>
          <w:numId w:val="11"/>
        </w:numPr>
        <w:spacing w:before="100" w:beforeAutospacing="1" w:after="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Dominant Barriers:</w:t>
      </w:r>
      <w:r w:rsidRPr="00565E45">
        <w:rPr>
          <w:rFonts w:ascii="Times New Roman" w:eastAsia="Times New Roman" w:hAnsi="Times New Roman" w:cs="Times New Roman"/>
          <w:color w:val="1B1C1D"/>
          <w:sz w:val="24"/>
          <w:szCs w:val="24"/>
        </w:rPr>
        <w:t xml:space="preserve"> The top four reported barriers were exclusively financial: </w:t>
      </w:r>
      <w:r w:rsidRPr="00565E45">
        <w:rPr>
          <w:rFonts w:ascii="Times New Roman" w:eastAsia="Times New Roman" w:hAnsi="Times New Roman" w:cs="Times New Roman"/>
          <w:b/>
          <w:bCs/>
          <w:color w:val="1B1C1D"/>
          <w:sz w:val="24"/>
          <w:szCs w:val="24"/>
          <w:bdr w:val="none" w:sz="0" w:space="0" w:color="auto" w:frame="1"/>
        </w:rPr>
        <w:t>transportation expenses, high registration fees, lack of funding/support, and accommodation expenses.</w:t>
      </w:r>
      <w:r w:rsidRPr="00565E45">
        <w:rPr>
          <w:rFonts w:ascii="Times New Roman" w:eastAsia="Times New Roman" w:hAnsi="Times New Roman" w:cs="Times New Roman"/>
          <w:color w:val="1B1C1D"/>
          <w:sz w:val="24"/>
          <w:szCs w:val="24"/>
        </w:rPr>
        <w:t xml:space="preserve"> These far outweigh non-financial concerns.</w:t>
      </w:r>
    </w:p>
    <w:p w:rsidR="002304FA" w:rsidRPr="00565E45" w:rsidRDefault="002304FA" w:rsidP="002028ED">
      <w:pPr>
        <w:pStyle w:val="ListParagraph"/>
        <w:numPr>
          <w:ilvl w:val="0"/>
          <w:numId w:val="11"/>
        </w:numPr>
        <w:spacing w:before="100" w:beforeAutospacing="1" w:after="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Income-Driven Attendance Patterns:</w:t>
      </w:r>
      <w:r w:rsidRPr="00565E45">
        <w:rPr>
          <w:rFonts w:ascii="Times New Roman" w:eastAsia="Times New Roman" w:hAnsi="Times New Roman" w:cs="Times New Roman"/>
          <w:color w:val="1B1C1D"/>
          <w:sz w:val="24"/>
          <w:szCs w:val="24"/>
        </w:rPr>
        <w:t xml:space="preserve"> Higher income levels, particularly those earning </w:t>
      </w:r>
      <w:r w:rsidRPr="00565E45">
        <w:rPr>
          <w:rFonts w:ascii="Times New Roman" w:eastAsia="Times New Roman" w:hAnsi="Times New Roman" w:cs="Times New Roman"/>
          <w:b/>
          <w:bCs/>
          <w:color w:val="1B1C1D"/>
          <w:sz w:val="24"/>
          <w:szCs w:val="24"/>
          <w:bdr w:val="none" w:sz="0" w:space="0" w:color="auto" w:frame="1"/>
        </w:rPr>
        <w:t>above ₦81,000 per month, exhibit significantly higher attendance rates</w:t>
      </w:r>
      <w:r w:rsidRPr="00565E45">
        <w:rPr>
          <w:rFonts w:ascii="Times New Roman" w:eastAsia="Times New Roman" w:hAnsi="Times New Roman" w:cs="Times New Roman"/>
          <w:color w:val="1B1C1D"/>
          <w:sz w:val="24"/>
          <w:szCs w:val="24"/>
        </w:rPr>
        <w:t xml:space="preserve">, often reaching </w:t>
      </w:r>
      <w:r w:rsidRPr="00565E45">
        <w:rPr>
          <w:rFonts w:ascii="Times New Roman" w:eastAsia="Times New Roman" w:hAnsi="Times New Roman" w:cs="Times New Roman"/>
          <w:color w:val="1B1C1D"/>
          <w:sz w:val="24"/>
          <w:szCs w:val="24"/>
          <w:bdr w:val="none" w:sz="0" w:space="0" w:color="auto" w:frame="1"/>
        </w:rPr>
        <w:t>100%</w:t>
      </w:r>
      <w:r w:rsidRPr="00565E45">
        <w:rPr>
          <w:rFonts w:ascii="Times New Roman" w:eastAsia="Times New Roman" w:hAnsi="Times New Roman" w:cs="Times New Roman"/>
          <w:color w:val="1B1C1D"/>
          <w:sz w:val="24"/>
          <w:szCs w:val="24"/>
        </w:rPr>
        <w:t xml:space="preserve"> even for higher expected registration fees or when fees are uncertain. This contrasts sharply with lower and middle-income groups, who show varied and often lower attendance, especially for higher fee expectations.</w:t>
      </w:r>
    </w:p>
    <w:p w:rsidR="002304FA" w:rsidRPr="00565E45" w:rsidRDefault="002304FA" w:rsidP="002028ED">
      <w:pPr>
        <w:pStyle w:val="ListParagraph"/>
        <w:numPr>
          <w:ilvl w:val="0"/>
          <w:numId w:val="11"/>
        </w:numPr>
        <w:spacing w:before="100" w:beforeAutospacing="1" w:after="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Attendance Frequency by Income:</w:t>
      </w:r>
      <w:r w:rsidRPr="00565E45">
        <w:rPr>
          <w:rFonts w:ascii="Times New Roman" w:eastAsia="Times New Roman" w:hAnsi="Times New Roman" w:cs="Times New Roman"/>
          <w:color w:val="1B1C1D"/>
          <w:sz w:val="24"/>
          <w:szCs w:val="24"/>
        </w:rPr>
        <w:t xml:space="preserve"> While attending "Rarely (Once a year)" is common across all groups, individuals in the </w:t>
      </w:r>
      <w:r w:rsidRPr="00565E45">
        <w:rPr>
          <w:rFonts w:ascii="Times New Roman" w:eastAsia="Times New Roman" w:hAnsi="Times New Roman" w:cs="Times New Roman"/>
          <w:b/>
          <w:bCs/>
          <w:color w:val="1B1C1D"/>
          <w:sz w:val="24"/>
          <w:szCs w:val="24"/>
          <w:bdr w:val="none" w:sz="0" w:space="0" w:color="auto" w:frame="1"/>
        </w:rPr>
        <w:t>"More than ₦100,000" income bracket show a distinct shift towards "Occasionally" and "Regularly" conference attendance</w:t>
      </w:r>
      <w:r w:rsidRPr="00565E45">
        <w:rPr>
          <w:rFonts w:ascii="Times New Roman" w:eastAsia="Times New Roman" w:hAnsi="Times New Roman" w:cs="Times New Roman"/>
          <w:color w:val="1B1C1D"/>
          <w:sz w:val="24"/>
          <w:szCs w:val="24"/>
        </w:rPr>
        <w:t>, highlighting how financial capacity enables consistent engagement.</w:t>
      </w:r>
    </w:p>
    <w:p w:rsidR="002C6315" w:rsidRPr="00565E45" w:rsidRDefault="002304FA" w:rsidP="002C6315">
      <w:pPr>
        <w:numPr>
          <w:ilvl w:val="0"/>
          <w:numId w:val="8"/>
        </w:numPr>
        <w:spacing w:before="100" w:beforeAutospacing="1" w:line="240" w:lineRule="auto"/>
        <w:ind w:left="0"/>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lastRenderedPageBreak/>
        <w:t>Dual Motivation: Professional Growth &amp; Networking:</w:t>
      </w:r>
      <w:r w:rsidRPr="002304FA">
        <w:rPr>
          <w:rFonts w:ascii="Times New Roman" w:eastAsia="Times New Roman" w:hAnsi="Times New Roman" w:cs="Times New Roman"/>
          <w:color w:val="1B1C1D"/>
          <w:sz w:val="24"/>
          <w:szCs w:val="24"/>
        </w:rPr>
        <w:t xml:space="preserve"> Beyond financial considerations, the analysis of student motivations consistently revealed </w:t>
      </w:r>
      <w:r w:rsidRPr="00565E45">
        <w:rPr>
          <w:rFonts w:ascii="Times New Roman" w:eastAsia="Times New Roman" w:hAnsi="Times New Roman" w:cs="Times New Roman"/>
          <w:b/>
          <w:bCs/>
          <w:color w:val="1B1C1D"/>
          <w:sz w:val="24"/>
          <w:szCs w:val="24"/>
          <w:bdr w:val="none" w:sz="0" w:space="0" w:color="auto" w:frame="1"/>
        </w:rPr>
        <w:t>"Professional development" and "Networking opportunities"</w:t>
      </w:r>
      <w:r w:rsidRPr="002304FA">
        <w:rPr>
          <w:rFonts w:ascii="Times New Roman" w:eastAsia="Times New Roman" w:hAnsi="Times New Roman" w:cs="Times New Roman"/>
          <w:color w:val="1B1C1D"/>
          <w:sz w:val="24"/>
          <w:szCs w:val="24"/>
        </w:rPr>
        <w:t xml:space="preserve"> as the most prominent dr</w:t>
      </w:r>
      <w:r w:rsidR="002028ED" w:rsidRPr="00565E45">
        <w:rPr>
          <w:rFonts w:ascii="Times New Roman" w:eastAsia="Times New Roman" w:hAnsi="Times New Roman" w:cs="Times New Roman"/>
          <w:color w:val="1B1C1D"/>
          <w:sz w:val="24"/>
          <w:szCs w:val="24"/>
        </w:rPr>
        <w:t>ivers for attending conferences.</w:t>
      </w:r>
    </w:p>
    <w:p w:rsidR="002304FA" w:rsidRPr="002304FA" w:rsidRDefault="002304FA" w:rsidP="002C6315">
      <w:pPr>
        <w:numPr>
          <w:ilvl w:val="0"/>
          <w:numId w:val="8"/>
        </w:numPr>
        <w:spacing w:after="0" w:line="240" w:lineRule="auto"/>
        <w:ind w:left="0"/>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Logistical &amp; Accessibility Challenges:</w:t>
      </w:r>
    </w:p>
    <w:p w:rsidR="002304FA" w:rsidRPr="00565E45" w:rsidRDefault="002304FA" w:rsidP="002028ED">
      <w:pPr>
        <w:pStyle w:val="ListParagraph"/>
        <w:numPr>
          <w:ilvl w:val="0"/>
          <w:numId w:val="12"/>
        </w:numPr>
        <w:spacing w:before="100" w:beforeAutospacing="1" w:after="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Location and Frequency:</w:t>
      </w:r>
      <w:r w:rsidRPr="00565E45">
        <w:rPr>
          <w:rFonts w:ascii="Times New Roman" w:eastAsia="Times New Roman" w:hAnsi="Times New Roman" w:cs="Times New Roman"/>
          <w:color w:val="1B1C1D"/>
          <w:sz w:val="24"/>
          <w:szCs w:val="24"/>
        </w:rPr>
        <w:t xml:space="preserve"> Students expressed a strong preference for conferences to be held more frequently and in diversified locations, ideally closer to university campuses, to ease travel burdens.</w:t>
      </w:r>
    </w:p>
    <w:p w:rsidR="002304FA" w:rsidRPr="00565E45" w:rsidRDefault="002304FA" w:rsidP="002028ED">
      <w:pPr>
        <w:pStyle w:val="ListParagraph"/>
        <w:numPr>
          <w:ilvl w:val="0"/>
          <w:numId w:val="12"/>
        </w:numPr>
        <w:spacing w:before="100" w:beforeAutospacing="1" w:after="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Information Dissemination:</w:t>
      </w:r>
      <w:r w:rsidRPr="00565E45">
        <w:rPr>
          <w:rFonts w:ascii="Times New Roman" w:eastAsia="Times New Roman" w:hAnsi="Times New Roman" w:cs="Times New Roman"/>
          <w:color w:val="1B1C1D"/>
          <w:sz w:val="24"/>
          <w:szCs w:val="24"/>
        </w:rPr>
        <w:t xml:space="preserve"> There's a perceived gap in the timely and adequate communication of conference information and opportunities to students.</w:t>
      </w:r>
    </w:p>
    <w:p w:rsidR="002304FA" w:rsidRPr="002304FA" w:rsidRDefault="002304FA" w:rsidP="002304FA">
      <w:pPr>
        <w:numPr>
          <w:ilvl w:val="0"/>
          <w:numId w:val="8"/>
        </w:numPr>
        <w:spacing w:before="100" w:beforeAutospacing="1" w:after="0" w:line="240" w:lineRule="auto"/>
        <w:ind w:left="0"/>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Demographic Nuances:</w:t>
      </w:r>
    </w:p>
    <w:p w:rsidR="002304FA" w:rsidRPr="00565E45" w:rsidRDefault="002304FA" w:rsidP="002028ED">
      <w:pPr>
        <w:pStyle w:val="ListParagraph"/>
        <w:numPr>
          <w:ilvl w:val="0"/>
          <w:numId w:val="13"/>
        </w:numPr>
        <w:spacing w:before="100" w:beforeAutospacing="1" w:after="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Gender:</w:t>
      </w:r>
      <w:r w:rsidRPr="00565E45">
        <w:rPr>
          <w:rFonts w:ascii="Times New Roman" w:eastAsia="Times New Roman" w:hAnsi="Times New Roman" w:cs="Times New Roman"/>
          <w:color w:val="1B1C1D"/>
          <w:sz w:val="24"/>
          <w:szCs w:val="24"/>
        </w:rPr>
        <w:t xml:space="preserve"> A </w:t>
      </w:r>
      <w:r w:rsidRPr="00565E45">
        <w:rPr>
          <w:rFonts w:ascii="Times New Roman" w:eastAsia="Times New Roman" w:hAnsi="Times New Roman" w:cs="Times New Roman"/>
          <w:b/>
          <w:bCs/>
          <w:color w:val="1B1C1D"/>
          <w:sz w:val="24"/>
          <w:szCs w:val="24"/>
          <w:bdr w:val="none" w:sz="0" w:space="0" w:color="auto" w:frame="1"/>
        </w:rPr>
        <w:t>statistically significant association was found between gender and conference attendance</w:t>
      </w:r>
      <w:r w:rsidRPr="00565E45">
        <w:rPr>
          <w:rFonts w:ascii="Times New Roman" w:eastAsia="Times New Roman" w:hAnsi="Times New Roman" w:cs="Times New Roman"/>
          <w:color w:val="1B1C1D"/>
          <w:sz w:val="24"/>
          <w:szCs w:val="24"/>
        </w:rPr>
        <w:t>, with male students exhibiting a notably higher attendance rate than female students.</w:t>
      </w:r>
    </w:p>
    <w:p w:rsidR="002304FA" w:rsidRPr="00565E45" w:rsidRDefault="002304FA" w:rsidP="002028ED">
      <w:pPr>
        <w:pStyle w:val="ListParagraph"/>
        <w:numPr>
          <w:ilvl w:val="0"/>
          <w:numId w:val="13"/>
        </w:numPr>
        <w:spacing w:before="100" w:beforeAutospacing="1" w:after="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Monthly Income:</w:t>
      </w:r>
      <w:r w:rsidRPr="00565E45">
        <w:rPr>
          <w:rFonts w:ascii="Times New Roman" w:eastAsia="Times New Roman" w:hAnsi="Times New Roman" w:cs="Times New Roman"/>
          <w:color w:val="1B1C1D"/>
          <w:sz w:val="24"/>
          <w:szCs w:val="24"/>
        </w:rPr>
        <w:t xml:space="preserve"> While observed attendance rates varied across monthly income categories, the </w:t>
      </w:r>
      <w:r w:rsidRPr="00565E45">
        <w:rPr>
          <w:rFonts w:ascii="Times New Roman" w:eastAsia="Times New Roman" w:hAnsi="Times New Roman" w:cs="Times New Roman"/>
          <w:b/>
          <w:bCs/>
          <w:color w:val="1B1C1D"/>
          <w:sz w:val="24"/>
          <w:szCs w:val="24"/>
          <w:bdr w:val="none" w:sz="0" w:space="0" w:color="auto" w:frame="1"/>
        </w:rPr>
        <w:t>overall association between monthly income and general conference attendance was not statistically significant</w:t>
      </w:r>
      <w:r w:rsidRPr="00565E45">
        <w:rPr>
          <w:rFonts w:ascii="Times New Roman" w:eastAsia="Times New Roman" w:hAnsi="Times New Roman" w:cs="Times New Roman"/>
          <w:color w:val="1B1C1D"/>
          <w:sz w:val="24"/>
          <w:szCs w:val="24"/>
        </w:rPr>
        <w:t xml:space="preserve"> (though granular analysis revealed </w:t>
      </w:r>
      <w:r w:rsidR="002C6315" w:rsidRPr="00565E45">
        <w:rPr>
          <w:rFonts w:ascii="Times New Roman" w:eastAsia="Times New Roman" w:hAnsi="Times New Roman" w:cs="Times New Roman"/>
          <w:color w:val="1B1C1D"/>
          <w:sz w:val="24"/>
          <w:szCs w:val="24"/>
        </w:rPr>
        <w:t>increased attendance rate with increased monthly income</w:t>
      </w:r>
      <w:r w:rsidRPr="00565E45">
        <w:rPr>
          <w:rFonts w:ascii="Times New Roman" w:eastAsia="Times New Roman" w:hAnsi="Times New Roman" w:cs="Times New Roman"/>
          <w:color w:val="1B1C1D"/>
          <w:sz w:val="24"/>
          <w:szCs w:val="24"/>
        </w:rPr>
        <w:t>).</w:t>
      </w:r>
    </w:p>
    <w:p w:rsidR="002304FA" w:rsidRPr="00565E45" w:rsidRDefault="002304FA" w:rsidP="002028ED">
      <w:pPr>
        <w:pStyle w:val="ListParagraph"/>
        <w:numPr>
          <w:ilvl w:val="0"/>
          <w:numId w:val="13"/>
        </w:numPr>
        <w:spacing w:before="100" w:beforeAutospacing="1" w:after="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Geopolitical Zone:</w:t>
      </w:r>
      <w:r w:rsidRPr="00565E45">
        <w:rPr>
          <w:rFonts w:ascii="Times New Roman" w:eastAsia="Times New Roman" w:hAnsi="Times New Roman" w:cs="Times New Roman"/>
          <w:color w:val="1B1C1D"/>
          <w:sz w:val="24"/>
          <w:szCs w:val="24"/>
        </w:rPr>
        <w:t xml:space="preserve"> No statistically significant association was found between geopolitical zone and conference attendance.</w:t>
      </w:r>
    </w:p>
    <w:p w:rsidR="0073099B" w:rsidRPr="00565E45" w:rsidRDefault="002304FA" w:rsidP="002028ED">
      <w:pPr>
        <w:numPr>
          <w:ilvl w:val="0"/>
          <w:numId w:val="8"/>
        </w:numPr>
        <w:spacing w:before="100" w:beforeAutospacing="1" w:after="0" w:line="240" w:lineRule="auto"/>
        <w:ind w:left="0"/>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Nature of Suggestions:</w:t>
      </w:r>
      <w:r w:rsidRPr="002304FA">
        <w:rPr>
          <w:rFonts w:ascii="Times New Roman" w:eastAsia="Times New Roman" w:hAnsi="Times New Roman" w:cs="Times New Roman"/>
          <w:color w:val="1B1C1D"/>
          <w:sz w:val="24"/>
          <w:szCs w:val="24"/>
        </w:rPr>
        <w:t xml:space="preserve"> The sentiment analysis of student suggestions indicated an overall </w:t>
      </w:r>
      <w:r w:rsidRPr="00565E45">
        <w:rPr>
          <w:rFonts w:ascii="Times New Roman" w:eastAsia="Times New Roman" w:hAnsi="Times New Roman" w:cs="Times New Roman"/>
          <w:b/>
          <w:bCs/>
          <w:color w:val="1B1C1D"/>
          <w:sz w:val="24"/>
          <w:szCs w:val="24"/>
          <w:bdr w:val="none" w:sz="0" w:space="0" w:color="auto" w:frame="1"/>
        </w:rPr>
        <w:t>predominance of positive and neutral feedback</w:t>
      </w:r>
      <w:r w:rsidRPr="002304FA">
        <w:rPr>
          <w:rFonts w:ascii="Times New Roman" w:eastAsia="Times New Roman" w:hAnsi="Times New Roman" w:cs="Times New Roman"/>
          <w:color w:val="1B1C1D"/>
          <w:sz w:val="24"/>
          <w:szCs w:val="24"/>
        </w:rPr>
        <w:t>, suggesting a constructive and hopeful tone among respondents, despite significant challenges being highlighted.</w:t>
      </w:r>
    </w:p>
    <w:p w:rsidR="00565E45" w:rsidRPr="00565E45" w:rsidRDefault="00565E45" w:rsidP="00565E45">
      <w:pPr>
        <w:spacing w:before="100" w:beforeAutospacing="1" w:after="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color w:val="1B1C1D"/>
          <w:sz w:val="24"/>
          <w:szCs w:val="24"/>
        </w:rPr>
        <w:drawing>
          <wp:inline distT="0" distB="0" distL="0" distR="0" wp14:anchorId="192F59C4" wp14:editId="4687409D">
            <wp:extent cx="4353533" cy="302937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3533" cy="3029373"/>
                    </a:xfrm>
                    <a:prstGeom prst="rect">
                      <a:avLst/>
                    </a:prstGeom>
                  </pic:spPr>
                </pic:pic>
              </a:graphicData>
            </a:graphic>
          </wp:inline>
        </w:drawing>
      </w:r>
    </w:p>
    <w:p w:rsidR="00565E45" w:rsidRPr="00565E45" w:rsidRDefault="00565E45" w:rsidP="00565E45">
      <w:pPr>
        <w:numPr>
          <w:ilvl w:val="0"/>
          <w:numId w:val="8"/>
        </w:numPr>
        <w:shd w:val="clear" w:color="auto" w:fill="FFFFFF"/>
        <w:spacing w:after="240" w:line="240" w:lineRule="auto"/>
        <w:rPr>
          <w:rFonts w:ascii="Times New Roman" w:eastAsia="Times New Roman" w:hAnsi="Times New Roman" w:cs="Times New Roman"/>
          <w:sz w:val="24"/>
          <w:szCs w:val="24"/>
        </w:rPr>
      </w:pPr>
      <w:r w:rsidRPr="00565E45">
        <w:rPr>
          <w:rFonts w:ascii="Times New Roman" w:eastAsia="Times New Roman" w:hAnsi="Times New Roman" w:cs="Times New Roman"/>
          <w:bCs/>
          <w:sz w:val="24"/>
          <w:szCs w:val="24"/>
        </w:rPr>
        <w:lastRenderedPageBreak/>
        <w:t xml:space="preserve">A sample of students’ suggestions showed that </w:t>
      </w:r>
      <w:r w:rsidRPr="00565E45">
        <w:rPr>
          <w:rFonts w:ascii="Times New Roman" w:eastAsia="Times New Roman" w:hAnsi="Times New Roman" w:cs="Times New Roman"/>
          <w:b/>
          <w:bCs/>
          <w:sz w:val="24"/>
          <w:szCs w:val="24"/>
        </w:rPr>
        <w:t>lack of funding, institutional support, or personal financial capacity</w:t>
      </w:r>
      <w:r w:rsidRPr="00565E45">
        <w:rPr>
          <w:rFonts w:ascii="Times New Roman" w:eastAsia="Times New Roman" w:hAnsi="Times New Roman" w:cs="Times New Roman"/>
          <w:bCs/>
          <w:sz w:val="24"/>
          <w:szCs w:val="24"/>
        </w:rPr>
        <w:t xml:space="preserve"> were major deterrents to conference attendance. Proposed solutions also frequently involved financial relief: </w:t>
      </w:r>
      <w:r w:rsidRPr="00565E45">
        <w:rPr>
          <w:rFonts w:ascii="Times New Roman" w:eastAsia="Times New Roman" w:hAnsi="Times New Roman" w:cs="Times New Roman"/>
          <w:sz w:val="24"/>
          <w:szCs w:val="24"/>
        </w:rPr>
        <w:t>free/subsidized conferences, student fee options, grants from NGOs/government, and subsidized accommodation/travel.</w:t>
      </w:r>
    </w:p>
    <w:p w:rsidR="00565E45" w:rsidRPr="00565E45" w:rsidRDefault="00565E45" w:rsidP="00565E45">
      <w:pPr>
        <w:spacing w:before="100" w:beforeAutospacing="1" w:after="0" w:line="240" w:lineRule="auto"/>
        <w:ind w:left="360"/>
        <w:rPr>
          <w:rFonts w:ascii="Times New Roman" w:eastAsia="Times New Roman" w:hAnsi="Times New Roman" w:cs="Times New Roman"/>
          <w:color w:val="1B1C1D"/>
          <w:sz w:val="24"/>
          <w:szCs w:val="24"/>
        </w:rPr>
      </w:pPr>
    </w:p>
    <w:p w:rsidR="002304FA" w:rsidRPr="002304FA" w:rsidRDefault="002304FA" w:rsidP="002304FA">
      <w:pPr>
        <w:spacing w:before="100" w:beforeAutospacing="1" w:after="0" w:line="240" w:lineRule="auto"/>
        <w:rPr>
          <w:rFonts w:ascii="Times New Roman" w:eastAsia="Times New Roman" w:hAnsi="Times New Roman" w:cs="Times New Roman"/>
          <w:color w:val="1B1C1D"/>
          <w:sz w:val="24"/>
          <w:szCs w:val="24"/>
        </w:rPr>
      </w:pPr>
      <w:r w:rsidRPr="00565E45">
        <w:rPr>
          <w:rFonts w:ascii="Times New Roman" w:eastAsia="Times New Roman" w:hAnsi="Times New Roman" w:cs="Times New Roman"/>
          <w:b/>
          <w:bCs/>
          <w:color w:val="1B1C1D"/>
          <w:sz w:val="24"/>
          <w:szCs w:val="24"/>
          <w:bdr w:val="none" w:sz="0" w:space="0" w:color="auto" w:frame="1"/>
        </w:rPr>
        <w:t>Conclusion:</w:t>
      </w:r>
    </w:p>
    <w:p w:rsidR="002304FA" w:rsidRPr="002304FA" w:rsidRDefault="002304FA" w:rsidP="002304FA">
      <w:pPr>
        <w:spacing w:before="100" w:beforeAutospacing="1" w:after="0" w:line="240" w:lineRule="auto"/>
        <w:rPr>
          <w:rFonts w:ascii="Times New Roman" w:eastAsia="Times New Roman" w:hAnsi="Times New Roman" w:cs="Times New Roman"/>
          <w:color w:val="1B1C1D"/>
          <w:sz w:val="24"/>
          <w:szCs w:val="24"/>
        </w:rPr>
      </w:pPr>
      <w:r w:rsidRPr="002304FA">
        <w:rPr>
          <w:rFonts w:ascii="Times New Roman" w:eastAsia="Times New Roman" w:hAnsi="Times New Roman" w:cs="Times New Roman"/>
          <w:color w:val="1B1C1D"/>
          <w:sz w:val="24"/>
          <w:szCs w:val="24"/>
        </w:rPr>
        <w:t xml:space="preserve">The analysis clearly indicates that </w:t>
      </w:r>
      <w:r w:rsidRPr="00565E45">
        <w:rPr>
          <w:rFonts w:ascii="Times New Roman" w:eastAsia="Times New Roman" w:hAnsi="Times New Roman" w:cs="Times New Roman"/>
          <w:b/>
          <w:bCs/>
          <w:color w:val="1B1C1D"/>
          <w:sz w:val="24"/>
          <w:szCs w:val="24"/>
          <w:bdr w:val="none" w:sz="0" w:space="0" w:color="auto" w:frame="1"/>
        </w:rPr>
        <w:t>financial barriers (registration, travel, accommodation, and lack of external funding) are the primary obstacles preventing students from attending conferences.</w:t>
      </w:r>
      <w:r w:rsidRPr="002304FA">
        <w:rPr>
          <w:rFonts w:ascii="Times New Roman" w:eastAsia="Times New Roman" w:hAnsi="Times New Roman" w:cs="Times New Roman"/>
          <w:color w:val="1B1C1D"/>
          <w:sz w:val="24"/>
          <w:szCs w:val="24"/>
        </w:rPr>
        <w:t xml:space="preserve"> While students are highly motivated by professional development and networking, these aspirations are often constrained by economic realities. Addressing these financial and logistical challenges, alongside improving awareness, will be critical to fostering greater and more equitable student participation in scientific conferences.</w:t>
      </w:r>
    </w:p>
    <w:p w:rsidR="00CF16E6" w:rsidRPr="00565E45" w:rsidRDefault="00CF16E6" w:rsidP="002304FA">
      <w:pPr>
        <w:rPr>
          <w:rFonts w:ascii="Times New Roman" w:hAnsi="Times New Roman" w:cs="Times New Roman"/>
          <w:sz w:val="24"/>
          <w:szCs w:val="24"/>
        </w:rPr>
      </w:pPr>
    </w:p>
    <w:sectPr w:rsidR="00CF16E6" w:rsidRPr="00565E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87CDF"/>
    <w:multiLevelType w:val="hybridMultilevel"/>
    <w:tmpl w:val="70AA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C292E"/>
    <w:multiLevelType w:val="multilevel"/>
    <w:tmpl w:val="F41C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F64009"/>
    <w:multiLevelType w:val="multilevel"/>
    <w:tmpl w:val="D010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160E4"/>
    <w:multiLevelType w:val="hybridMultilevel"/>
    <w:tmpl w:val="56C68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DD5581B"/>
    <w:multiLevelType w:val="multilevel"/>
    <w:tmpl w:val="88A8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38016C"/>
    <w:multiLevelType w:val="multilevel"/>
    <w:tmpl w:val="95B6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681D8B"/>
    <w:multiLevelType w:val="multilevel"/>
    <w:tmpl w:val="23AA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FE5A83"/>
    <w:multiLevelType w:val="multilevel"/>
    <w:tmpl w:val="236A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EE47AA"/>
    <w:multiLevelType w:val="multilevel"/>
    <w:tmpl w:val="2C1A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714C5B"/>
    <w:multiLevelType w:val="hybridMultilevel"/>
    <w:tmpl w:val="9FF87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84E7CA0"/>
    <w:multiLevelType w:val="multilevel"/>
    <w:tmpl w:val="96D8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A140E0"/>
    <w:multiLevelType w:val="multilevel"/>
    <w:tmpl w:val="3C04C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7D2595"/>
    <w:multiLevelType w:val="hybridMultilevel"/>
    <w:tmpl w:val="D32E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8064C"/>
    <w:multiLevelType w:val="multilevel"/>
    <w:tmpl w:val="85DE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965183"/>
    <w:multiLevelType w:val="multilevel"/>
    <w:tmpl w:val="A4B67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0E48C0"/>
    <w:multiLevelType w:val="hybridMultilevel"/>
    <w:tmpl w:val="4D20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6F04AE"/>
    <w:multiLevelType w:val="multilevel"/>
    <w:tmpl w:val="65200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095138"/>
    <w:multiLevelType w:val="multilevel"/>
    <w:tmpl w:val="34CA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4"/>
  </w:num>
  <w:num w:numId="5">
    <w:abstractNumId w:val="17"/>
  </w:num>
  <w:num w:numId="6">
    <w:abstractNumId w:val="11"/>
  </w:num>
  <w:num w:numId="7">
    <w:abstractNumId w:val="5"/>
  </w:num>
  <w:num w:numId="8">
    <w:abstractNumId w:val="16"/>
  </w:num>
  <w:num w:numId="9">
    <w:abstractNumId w:val="15"/>
  </w:num>
  <w:num w:numId="10">
    <w:abstractNumId w:val="0"/>
  </w:num>
  <w:num w:numId="11">
    <w:abstractNumId w:val="12"/>
  </w:num>
  <w:num w:numId="12">
    <w:abstractNumId w:val="9"/>
  </w:num>
  <w:num w:numId="13">
    <w:abstractNumId w:val="3"/>
  </w:num>
  <w:num w:numId="14">
    <w:abstractNumId w:val="14"/>
  </w:num>
  <w:num w:numId="15">
    <w:abstractNumId w:val="7"/>
  </w:num>
  <w:num w:numId="16">
    <w:abstractNumId w:val="1"/>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E6"/>
    <w:rsid w:val="000B72B5"/>
    <w:rsid w:val="00110394"/>
    <w:rsid w:val="002028ED"/>
    <w:rsid w:val="00211E4A"/>
    <w:rsid w:val="002304FA"/>
    <w:rsid w:val="002C6315"/>
    <w:rsid w:val="002D04B5"/>
    <w:rsid w:val="0031733C"/>
    <w:rsid w:val="0042143B"/>
    <w:rsid w:val="004934FB"/>
    <w:rsid w:val="00565E45"/>
    <w:rsid w:val="006603A5"/>
    <w:rsid w:val="00717753"/>
    <w:rsid w:val="0073099B"/>
    <w:rsid w:val="00A266F0"/>
    <w:rsid w:val="00B44F49"/>
    <w:rsid w:val="00CF16E6"/>
    <w:rsid w:val="00FA6516"/>
    <w:rsid w:val="00FF33E8"/>
    <w:rsid w:val="00FF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12DCD-09F2-4253-AEA9-9970A141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65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65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65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5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65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651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65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516"/>
    <w:rPr>
      <w:b/>
      <w:bCs/>
    </w:rPr>
  </w:style>
  <w:style w:type="character" w:styleId="Emphasis">
    <w:name w:val="Emphasis"/>
    <w:basedOn w:val="DefaultParagraphFont"/>
    <w:uiPriority w:val="20"/>
    <w:qFormat/>
    <w:rsid w:val="00FA6516"/>
    <w:rPr>
      <w:i/>
      <w:iCs/>
    </w:rPr>
  </w:style>
  <w:style w:type="character" w:styleId="HTMLCode">
    <w:name w:val="HTML Code"/>
    <w:basedOn w:val="DefaultParagraphFont"/>
    <w:uiPriority w:val="99"/>
    <w:semiHidden/>
    <w:unhideWhenUsed/>
    <w:rsid w:val="00FA6516"/>
    <w:rPr>
      <w:rFonts w:ascii="Courier New" w:eastAsia="Times New Roman" w:hAnsi="Courier New" w:cs="Courier New"/>
      <w:sz w:val="20"/>
      <w:szCs w:val="20"/>
    </w:rPr>
  </w:style>
  <w:style w:type="table" w:styleId="TableGrid">
    <w:name w:val="Table Grid"/>
    <w:basedOn w:val="TableNormal"/>
    <w:uiPriority w:val="39"/>
    <w:rsid w:val="00FA65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2304FA"/>
  </w:style>
  <w:style w:type="paragraph" w:styleId="ListParagraph">
    <w:name w:val="List Paragraph"/>
    <w:basedOn w:val="Normal"/>
    <w:uiPriority w:val="34"/>
    <w:qFormat/>
    <w:rsid w:val="000B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88249">
      <w:bodyDiv w:val="1"/>
      <w:marLeft w:val="0"/>
      <w:marRight w:val="0"/>
      <w:marTop w:val="0"/>
      <w:marBottom w:val="0"/>
      <w:divBdr>
        <w:top w:val="none" w:sz="0" w:space="0" w:color="auto"/>
        <w:left w:val="none" w:sz="0" w:space="0" w:color="auto"/>
        <w:bottom w:val="none" w:sz="0" w:space="0" w:color="auto"/>
        <w:right w:val="none" w:sz="0" w:space="0" w:color="auto"/>
      </w:divBdr>
    </w:div>
    <w:div w:id="149250795">
      <w:bodyDiv w:val="1"/>
      <w:marLeft w:val="0"/>
      <w:marRight w:val="0"/>
      <w:marTop w:val="0"/>
      <w:marBottom w:val="0"/>
      <w:divBdr>
        <w:top w:val="none" w:sz="0" w:space="0" w:color="auto"/>
        <w:left w:val="none" w:sz="0" w:space="0" w:color="auto"/>
        <w:bottom w:val="none" w:sz="0" w:space="0" w:color="auto"/>
        <w:right w:val="none" w:sz="0" w:space="0" w:color="auto"/>
      </w:divBdr>
    </w:div>
    <w:div w:id="352192705">
      <w:bodyDiv w:val="1"/>
      <w:marLeft w:val="0"/>
      <w:marRight w:val="0"/>
      <w:marTop w:val="0"/>
      <w:marBottom w:val="0"/>
      <w:divBdr>
        <w:top w:val="none" w:sz="0" w:space="0" w:color="auto"/>
        <w:left w:val="none" w:sz="0" w:space="0" w:color="auto"/>
        <w:bottom w:val="none" w:sz="0" w:space="0" w:color="auto"/>
        <w:right w:val="none" w:sz="0" w:space="0" w:color="auto"/>
      </w:divBdr>
    </w:div>
    <w:div w:id="367877779">
      <w:bodyDiv w:val="1"/>
      <w:marLeft w:val="0"/>
      <w:marRight w:val="0"/>
      <w:marTop w:val="0"/>
      <w:marBottom w:val="0"/>
      <w:divBdr>
        <w:top w:val="none" w:sz="0" w:space="0" w:color="auto"/>
        <w:left w:val="none" w:sz="0" w:space="0" w:color="auto"/>
        <w:bottom w:val="none" w:sz="0" w:space="0" w:color="auto"/>
        <w:right w:val="none" w:sz="0" w:space="0" w:color="auto"/>
      </w:divBdr>
    </w:div>
    <w:div w:id="460803850">
      <w:bodyDiv w:val="1"/>
      <w:marLeft w:val="0"/>
      <w:marRight w:val="0"/>
      <w:marTop w:val="0"/>
      <w:marBottom w:val="0"/>
      <w:divBdr>
        <w:top w:val="none" w:sz="0" w:space="0" w:color="auto"/>
        <w:left w:val="none" w:sz="0" w:space="0" w:color="auto"/>
        <w:bottom w:val="none" w:sz="0" w:space="0" w:color="auto"/>
        <w:right w:val="none" w:sz="0" w:space="0" w:color="auto"/>
      </w:divBdr>
    </w:div>
    <w:div w:id="740639817">
      <w:bodyDiv w:val="1"/>
      <w:marLeft w:val="0"/>
      <w:marRight w:val="0"/>
      <w:marTop w:val="0"/>
      <w:marBottom w:val="0"/>
      <w:divBdr>
        <w:top w:val="none" w:sz="0" w:space="0" w:color="auto"/>
        <w:left w:val="none" w:sz="0" w:space="0" w:color="auto"/>
        <w:bottom w:val="none" w:sz="0" w:space="0" w:color="auto"/>
        <w:right w:val="none" w:sz="0" w:space="0" w:color="auto"/>
      </w:divBdr>
    </w:div>
    <w:div w:id="1067843653">
      <w:bodyDiv w:val="1"/>
      <w:marLeft w:val="0"/>
      <w:marRight w:val="0"/>
      <w:marTop w:val="0"/>
      <w:marBottom w:val="0"/>
      <w:divBdr>
        <w:top w:val="none" w:sz="0" w:space="0" w:color="auto"/>
        <w:left w:val="none" w:sz="0" w:space="0" w:color="auto"/>
        <w:bottom w:val="none" w:sz="0" w:space="0" w:color="auto"/>
        <w:right w:val="none" w:sz="0" w:space="0" w:color="auto"/>
      </w:divBdr>
    </w:div>
    <w:div w:id="1209956908">
      <w:bodyDiv w:val="1"/>
      <w:marLeft w:val="0"/>
      <w:marRight w:val="0"/>
      <w:marTop w:val="0"/>
      <w:marBottom w:val="0"/>
      <w:divBdr>
        <w:top w:val="none" w:sz="0" w:space="0" w:color="auto"/>
        <w:left w:val="none" w:sz="0" w:space="0" w:color="auto"/>
        <w:bottom w:val="none" w:sz="0" w:space="0" w:color="auto"/>
        <w:right w:val="none" w:sz="0" w:space="0" w:color="auto"/>
      </w:divBdr>
      <w:divsChild>
        <w:div w:id="1067919518">
          <w:marLeft w:val="0"/>
          <w:marRight w:val="0"/>
          <w:marTop w:val="0"/>
          <w:marBottom w:val="0"/>
          <w:divBdr>
            <w:top w:val="none" w:sz="0" w:space="0" w:color="auto"/>
            <w:left w:val="none" w:sz="0" w:space="0" w:color="auto"/>
            <w:bottom w:val="none" w:sz="0" w:space="0" w:color="auto"/>
            <w:right w:val="none" w:sz="0" w:space="0" w:color="auto"/>
          </w:divBdr>
          <w:divsChild>
            <w:div w:id="597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7263">
      <w:bodyDiv w:val="1"/>
      <w:marLeft w:val="0"/>
      <w:marRight w:val="0"/>
      <w:marTop w:val="0"/>
      <w:marBottom w:val="0"/>
      <w:divBdr>
        <w:top w:val="none" w:sz="0" w:space="0" w:color="auto"/>
        <w:left w:val="none" w:sz="0" w:space="0" w:color="auto"/>
        <w:bottom w:val="none" w:sz="0" w:space="0" w:color="auto"/>
        <w:right w:val="none" w:sz="0" w:space="0" w:color="auto"/>
      </w:divBdr>
    </w:div>
    <w:div w:id="18356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8</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2025-06-14T16:44:00Z</dcterms:created>
  <dcterms:modified xsi:type="dcterms:W3CDTF">2025-06-15T21:10:00Z</dcterms:modified>
</cp:coreProperties>
</file>