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模型渲染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初始化场景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多加一个平行光，模拟太阳光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334000" cy="39833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此处函数整体仅为loader加载器的第二回调函数参数，即gltf加载完成回调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（1）观察加载模型的子对象组：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979545"/>
            <wp:effectExtent l="0" t="0" r="635" b="13335"/>
            <wp:docPr id="4" name="图片 4" descr="941dbf9e3a3a94584a71976ddc61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41dbf9e3a3a94584a71976ddc611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加载模型，遍历全部子对象，( xxx.isMesh == true  &amp;&amp; 当前子对象不为车窗 )时，手动添加PBR材质pbrMaterial，否则，当遍历对象为车窗模型对象时，添加透明度。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 由于原模型无正确命名，name == Car006为手动测试结果，即为车窗模型对象。</w: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6035040"/>
            <wp:effectExtent l="0" t="0" r="1397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if ( child.isMesh ) 并列，可再添加一次判断，操作车轮模型对象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853180"/>
            <wp:effectExtent l="0" t="0" r="1460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A9A05"/>
    <w:multiLevelType w:val="singleLevel"/>
    <w:tmpl w:val="952A9A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492DF7"/>
    <w:multiLevelType w:val="singleLevel"/>
    <w:tmpl w:val="FE492DF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0Y2FjMjRjYzBiMmI3OTU1NmZkZGQ4M2YyYjk2YjgifQ=="/>
  </w:docVars>
  <w:rsids>
    <w:rsidRoot w:val="00000000"/>
    <w:rsid w:val="0E68486E"/>
    <w:rsid w:val="2C944A5D"/>
    <w:rsid w:val="2ED6060C"/>
    <w:rsid w:val="31741628"/>
    <w:rsid w:val="5235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2023-12-18T09:43:46Z</dcterms:created>
  <dc:creator>lenovo</dc:creator>
  <cp:lastModifiedBy>夏日友情天_</cp:lastModifiedBy>
  <dcterms:modified xsi:type="dcterms:W3CDTF">2023-12-18T10:04:29Z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D09DFE8DFEE546DF94076E378F66A34A_12</vt:lpwstr>
  </property>
</Properties>
</file>